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E8" w:rsidRDefault="00BA26B1" w:rsidP="00BA26B1">
      <w:pPr>
        <w:jc w:val="right"/>
        <w:rPr>
          <w:rFonts w:ascii="Arial" w:eastAsia="MS Mincho" w:hAnsi="Arial" w:cs="Arial"/>
          <w:b/>
          <w:bCs/>
        </w:rPr>
      </w:pPr>
      <w:r>
        <w:rPr>
          <w:noProof/>
        </w:rPr>
        <w:drawing>
          <wp:inline distT="0" distB="0" distL="0" distR="0" wp14:anchorId="1745949B" wp14:editId="6362BB99">
            <wp:extent cx="3467100" cy="523875"/>
            <wp:effectExtent l="0" t="0" r="0" b="9525"/>
            <wp:docPr id="3" name="Picture 3" descr="Barnsley CCG col"/>
            <wp:cNvGraphicFramePr/>
            <a:graphic xmlns:a="http://schemas.openxmlformats.org/drawingml/2006/main">
              <a:graphicData uri="http://schemas.openxmlformats.org/drawingml/2006/picture">
                <pic:pic xmlns:pic="http://schemas.openxmlformats.org/drawingml/2006/picture">
                  <pic:nvPicPr>
                    <pic:cNvPr id="3" name="Picture 3" descr="Barnsley CCG co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noFill/>
                    <a:ln>
                      <a:noFill/>
                    </a:ln>
                  </pic:spPr>
                </pic:pic>
              </a:graphicData>
            </a:graphic>
          </wp:inline>
        </w:drawing>
      </w:r>
    </w:p>
    <w:p w:rsidR="003C60E8" w:rsidRPr="00BA26B1" w:rsidRDefault="003C60E8" w:rsidP="00BA26B1">
      <w:pPr>
        <w:tabs>
          <w:tab w:val="left" w:pos="3786"/>
        </w:tabs>
        <w:jc w:val="right"/>
        <w:rPr>
          <w:rFonts w:ascii="Arial" w:hAnsi="Arial" w:cs="Arial"/>
          <w:b/>
        </w:rPr>
      </w:pPr>
      <w:r>
        <w:rPr>
          <w:noProof/>
        </w:rPr>
        <mc:AlternateContent>
          <mc:Choice Requires="wps">
            <w:drawing>
              <wp:anchor distT="0" distB="0" distL="114300" distR="114300" simplePos="0" relativeHeight="251661312" behindDoc="0" locked="0" layoutInCell="1" allowOverlap="1" wp14:anchorId="5DC3CCC0" wp14:editId="3B92B85E">
                <wp:simplePos x="0" y="0"/>
                <wp:positionH relativeFrom="column">
                  <wp:posOffset>-304800</wp:posOffset>
                </wp:positionH>
                <wp:positionV relativeFrom="paragraph">
                  <wp:posOffset>1791970</wp:posOffset>
                </wp:positionV>
                <wp:extent cx="6134100" cy="12655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0E8" w:rsidRDefault="003C60E8" w:rsidP="003C60E8">
                            <w:pPr>
                              <w:jc w:val="center"/>
                              <w:rPr>
                                <w:rFonts w:ascii="Arial" w:hAnsi="Arial" w:cs="Arial"/>
                                <w:b/>
                                <w:color w:val="0070C0"/>
                                <w:sz w:val="52"/>
                                <w:szCs w:val="52"/>
                              </w:rPr>
                            </w:pPr>
                            <w:r>
                              <w:rPr>
                                <w:rFonts w:ascii="Arial" w:hAnsi="Arial" w:cs="Arial"/>
                                <w:b/>
                                <w:color w:val="0070C0"/>
                                <w:sz w:val="52"/>
                                <w:szCs w:val="52"/>
                              </w:rPr>
                              <w:t>Remuneration Committee</w:t>
                            </w:r>
                          </w:p>
                          <w:p w:rsidR="003C60E8" w:rsidRDefault="003C60E8" w:rsidP="003C60E8">
                            <w:pPr>
                              <w:jc w:val="center"/>
                            </w:pPr>
                            <w:r>
                              <w:rPr>
                                <w:rFonts w:ascii="Arial" w:hAnsi="Arial" w:cs="Arial"/>
                                <w:b/>
                                <w:color w:val="0070C0"/>
                                <w:sz w:val="52"/>
                                <w:szCs w:val="52"/>
                              </w:rPr>
                              <w:t xml:space="preserve">Terms of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pt;margin-top:141.1pt;width:483pt;height:9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lysw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" filled="f" stroked="f">
                <v:textbox>
                  <w:txbxContent>
                    <w:p w:rsidR="003C60E8" w:rsidRDefault="003C60E8" w:rsidP="003C60E8">
                      <w:pPr>
                        <w:jc w:val="center"/>
                        <w:rPr>
                          <w:rFonts w:ascii="Arial" w:hAnsi="Arial" w:cs="Arial"/>
                          <w:b/>
                          <w:color w:val="0070C0"/>
                          <w:sz w:val="52"/>
                          <w:szCs w:val="52"/>
                        </w:rPr>
                      </w:pPr>
                      <w:r>
                        <w:rPr>
                          <w:rFonts w:ascii="Arial" w:hAnsi="Arial" w:cs="Arial"/>
                          <w:b/>
                          <w:color w:val="0070C0"/>
                          <w:sz w:val="52"/>
                          <w:szCs w:val="52"/>
                        </w:rPr>
                        <w:t>Remuneration Committee</w:t>
                      </w:r>
                    </w:p>
                    <w:p w:rsidR="003C60E8" w:rsidRDefault="003C60E8" w:rsidP="003C60E8">
                      <w:pPr>
                        <w:jc w:val="center"/>
                      </w:pPr>
                      <w:r>
                        <w:rPr>
                          <w:rFonts w:ascii="Arial" w:hAnsi="Arial" w:cs="Arial"/>
                          <w:b/>
                          <w:color w:val="0070C0"/>
                          <w:sz w:val="52"/>
                          <w:szCs w:val="52"/>
                        </w:rPr>
                        <w:t xml:space="preserve">Terms of Reference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6B7C718" wp14:editId="535D8822">
                <wp:simplePos x="0" y="0"/>
                <wp:positionH relativeFrom="column">
                  <wp:posOffset>1431925</wp:posOffset>
                </wp:positionH>
                <wp:positionV relativeFrom="paragraph">
                  <wp:posOffset>2417445</wp:posOffset>
                </wp:positionV>
                <wp:extent cx="6657340" cy="11349990"/>
                <wp:effectExtent l="892175" t="3070225" r="0" b="445135"/>
                <wp:wrapNone/>
                <wp:docPr id="1" name="Mo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13457">
                          <a:off x="0" y="0"/>
                          <a:ext cx="6657340" cy="11349990"/>
                        </a:xfrm>
                        <a:prstGeom prst="moon">
                          <a:avLst>
                            <a:gd name="adj" fmla="val 70931"/>
                          </a:avLst>
                        </a:prstGeom>
                        <a:solidFill>
                          <a:srgbClr val="4F81BD"/>
                        </a:solidFill>
                        <a:ln w="25400" algn="ctr">
                          <a:solidFill>
                            <a:srgbClr val="0070C0"/>
                          </a:solidFill>
                          <a:miter lim="800000"/>
                          <a:headEnd/>
                          <a:tailEnd/>
                        </a:ln>
                        <a:effectLst>
                          <a:prstShdw prst="shdw13" dist="53882" dir="13500000">
                            <a:srgbClr val="0070C0">
                              <a:alpha val="50000"/>
                            </a:srgbClr>
                          </a:prst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1" o:spid="_x0000_s1026" type="#_x0000_t184" style="position:absolute;margin-left:112.75pt;margin-top:190.35pt;width:524.2pt;height:893.7pt;rotation:-861420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" adj="15321" fillcolor="#4f81bd" strokecolor="#0070c0" strokeweight="2pt">
                <v:shadow on="t" type="double" color="#0070c0" opacity=".5" color2="shadow add(102)" offset="-3pt,-3pt" offset2="-6pt,-6pt"/>
              </v:shape>
            </w:pict>
          </mc:Fallback>
        </mc:AlternateContent>
      </w:r>
      <w:r w:rsidR="00BA26B1">
        <w:tab/>
      </w:r>
      <w:r w:rsidR="00BA26B1" w:rsidRPr="00BA26B1">
        <w:rPr>
          <w:rFonts w:ascii="Arial" w:hAnsi="Arial" w:cs="Arial"/>
          <w:b/>
        </w:rPr>
        <w:t xml:space="preserve">Putting Barnsley People First </w:t>
      </w:r>
    </w:p>
    <w:p w:rsidR="003C60E8" w:rsidRDefault="003C60E8" w:rsidP="003C60E8">
      <w:pPr>
        <w:rPr>
          <w:rFonts w:ascii="Arial" w:eastAsia="MS Mincho" w:hAnsi="Arial" w:cs="Arial"/>
          <w:b/>
          <w:bCs/>
        </w:rPr>
      </w:pPr>
      <w:r>
        <w:rPr>
          <w:rFonts w:ascii="Arial" w:eastAsia="MS Mincho" w:hAnsi="Arial" w:cs="Arial"/>
          <w:b/>
          <w:bCs/>
        </w:rPr>
        <w:br w:type="page"/>
      </w:r>
    </w:p>
    <w:p w:rsidR="003C60E8" w:rsidRDefault="003C60E8" w:rsidP="003C60E8">
      <w:pPr>
        <w:jc w:val="center"/>
        <w:rPr>
          <w:rFonts w:ascii="Arial" w:eastAsia="MS Mincho" w:hAnsi="Arial" w:cs="Arial"/>
          <w:b/>
          <w:bCs/>
        </w:rPr>
      </w:pPr>
    </w:p>
    <w:p w:rsidR="003C60E8" w:rsidRPr="00EB5507" w:rsidRDefault="003C60E8" w:rsidP="003C60E8">
      <w:pPr>
        <w:jc w:val="center"/>
        <w:rPr>
          <w:rFonts w:ascii="Arial" w:eastAsia="MS Mincho" w:hAnsi="Arial" w:cs="Arial"/>
          <w:b/>
          <w:bCs/>
        </w:rPr>
      </w:pPr>
      <w:r w:rsidRPr="00EB5507">
        <w:rPr>
          <w:rFonts w:ascii="Arial" w:eastAsia="MS Mincho" w:hAnsi="Arial" w:cs="Arial"/>
          <w:b/>
          <w:bCs/>
        </w:rPr>
        <w:t>NHS Barnsley Clinical Commissioning Group</w:t>
      </w:r>
    </w:p>
    <w:p w:rsidR="003C60E8" w:rsidRPr="00EB5507" w:rsidRDefault="003C60E8" w:rsidP="003C60E8">
      <w:pPr>
        <w:jc w:val="center"/>
        <w:rPr>
          <w:rFonts w:ascii="Arial" w:eastAsia="MS Mincho" w:hAnsi="Arial" w:cs="Arial"/>
          <w:b/>
          <w:bCs/>
        </w:rPr>
      </w:pPr>
      <w:r w:rsidRPr="00EB5507">
        <w:rPr>
          <w:rFonts w:ascii="Arial" w:eastAsia="MS Mincho" w:hAnsi="Arial" w:cs="Arial"/>
          <w:b/>
          <w:bCs/>
        </w:rPr>
        <w:t xml:space="preserve">Remuneration Committee </w:t>
      </w:r>
      <w:r w:rsidRPr="00EB5507">
        <w:rPr>
          <w:rFonts w:ascii="Arial" w:eastAsia="MS Mincho" w:hAnsi="Arial" w:cs="Arial"/>
          <w:b/>
          <w:bCs/>
        </w:rPr>
        <w:br/>
        <w:t>Terms of Reference</w:t>
      </w:r>
    </w:p>
    <w:tbl>
      <w:tblPr>
        <w:tblW w:w="0" w:type="auto"/>
        <w:tblLook w:val="04A0" w:firstRow="1" w:lastRow="0" w:firstColumn="1" w:lastColumn="0" w:noHBand="0" w:noVBand="1"/>
      </w:tblPr>
      <w:tblGrid>
        <w:gridCol w:w="669"/>
        <w:gridCol w:w="284"/>
        <w:gridCol w:w="424"/>
        <w:gridCol w:w="851"/>
        <w:gridCol w:w="7014"/>
      </w:tblGrid>
      <w:tr w:rsidR="003C60E8" w:rsidRPr="00EB5507" w:rsidTr="00661416">
        <w:tc>
          <w:tcPr>
            <w:tcW w:w="959" w:type="dxa"/>
            <w:gridSpan w:val="2"/>
            <w:shd w:val="clear" w:color="auto" w:fill="auto"/>
          </w:tcPr>
          <w:p w:rsidR="003C60E8" w:rsidRPr="006F4594" w:rsidRDefault="003C60E8" w:rsidP="00661416">
            <w:pPr>
              <w:jc w:val="center"/>
              <w:rPr>
                <w:rFonts w:ascii="Arial" w:eastAsia="MS Mincho" w:hAnsi="Arial" w:cs="Arial"/>
                <w:b/>
                <w:bCs/>
              </w:rPr>
            </w:pPr>
          </w:p>
        </w:tc>
        <w:tc>
          <w:tcPr>
            <w:tcW w:w="8447" w:type="dxa"/>
            <w:gridSpan w:val="3"/>
            <w:shd w:val="clear" w:color="auto" w:fill="auto"/>
          </w:tcPr>
          <w:p w:rsidR="003C60E8" w:rsidRPr="006F4594" w:rsidRDefault="003C60E8" w:rsidP="00661416">
            <w:pPr>
              <w:jc w:val="center"/>
              <w:rPr>
                <w:rFonts w:ascii="Arial" w:eastAsia="MS Mincho" w:hAnsi="Arial" w:cs="Arial"/>
                <w:b/>
                <w:bCs/>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1.</w:t>
            </w:r>
          </w:p>
        </w:tc>
        <w:tc>
          <w:tcPr>
            <w:tcW w:w="8731" w:type="dxa"/>
            <w:gridSpan w:val="4"/>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Introduction</w:t>
            </w:r>
          </w:p>
          <w:p w:rsidR="003C60E8" w:rsidRPr="006F4594" w:rsidRDefault="003C60E8" w:rsidP="00661416">
            <w:pPr>
              <w:jc w:val="both"/>
              <w:rPr>
                <w:rFonts w:ascii="Arial" w:eastAsia="MS Mincho" w:hAnsi="Arial" w:cs="Arial"/>
                <w:b/>
                <w:bCs/>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1.1</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The Clinical Commissioning Group’s Governing Body hereby resolves to establish a Committee of the Governing Body known as the Remuneration Committee. The Committee is established in accordance with the Barnsley Clinical Commissioning Group’s Constitution, Standing Orders and Scheme of Delegation. </w:t>
            </w:r>
          </w:p>
          <w:p w:rsidR="003C60E8" w:rsidRPr="006F4594" w:rsidRDefault="003C60E8" w:rsidP="00661416">
            <w:pPr>
              <w:jc w:val="both"/>
              <w:rPr>
                <w:rFonts w:ascii="Arial" w:eastAsia="MS Mincho" w:hAnsi="Arial" w:cs="Arial"/>
                <w:b/>
                <w:bCs/>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1.2</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is authorised by the Governing Body to undertake any activity within its Terms of Reference. It is authorised to seek any information it requires from any member, officer or employee who is directed to co-operate with any requests made by this Committee.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1.3</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These Terms of Reference set out the membership, remit responsibilities and reporting arrangements of the Group and shall have effect as if incorporated into the Clinical Commissioning Group’s constitution. </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1.4</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is a non-executive Committee of the Governing Body and has no executive powers other than those specifically delegated in these Terms of Reference. The Committee may not delegate executive powers (unless expressly authorised by the Governing Body) and remains accountable for the work of any such group.</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2.</w:t>
            </w:r>
          </w:p>
        </w:tc>
        <w:tc>
          <w:tcPr>
            <w:tcW w:w="8731" w:type="dxa"/>
            <w:gridSpan w:val="4"/>
            <w:tcBorders>
              <w:top w:val="nil"/>
              <w:left w:val="nil"/>
              <w:bottom w:val="nil"/>
              <w:right w:val="nil"/>
            </w:tcBorders>
            <w:shd w:val="clear" w:color="auto" w:fill="auto"/>
          </w:tcPr>
          <w:p w:rsidR="003C60E8" w:rsidRPr="006F4594" w:rsidRDefault="003C60E8" w:rsidP="003C60E8">
            <w:pPr>
              <w:pStyle w:val="ListParagraph"/>
              <w:numPr>
                <w:ilvl w:val="0"/>
                <w:numId w:val="2"/>
              </w:numPr>
              <w:autoSpaceDE w:val="0"/>
              <w:autoSpaceDN w:val="0"/>
              <w:adjustRightInd w:val="0"/>
              <w:ind w:left="0" w:hanging="426"/>
              <w:contextualSpacing/>
              <w:jc w:val="both"/>
              <w:rPr>
                <w:rFonts w:cs="Arial"/>
                <w:b/>
                <w:color w:val="000000"/>
                <w:sz w:val="24"/>
              </w:rPr>
            </w:pPr>
            <w:r w:rsidRPr="006F4594">
              <w:rPr>
                <w:rFonts w:cs="Arial"/>
                <w:b/>
                <w:color w:val="000000"/>
                <w:sz w:val="24"/>
              </w:rPr>
              <w:t>Purpose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2.1</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have delegated authority to determine the remuneration and conditions of service for all Governing Body Members, taking into account any national direction or guidance on these matters.</w:t>
            </w:r>
          </w:p>
          <w:p w:rsidR="003C60E8" w:rsidRPr="006F4594" w:rsidRDefault="00183FA7" w:rsidP="00661416">
            <w:pPr>
              <w:autoSpaceDE w:val="0"/>
              <w:autoSpaceDN w:val="0"/>
              <w:adjustRightInd w:val="0"/>
              <w:jc w:val="both"/>
              <w:rPr>
                <w:rFonts w:ascii="Arial" w:hAnsi="Arial" w:cs="Arial"/>
                <w:color w:val="000000"/>
              </w:rPr>
            </w:pPr>
            <w:r>
              <w:rPr>
                <w:rFonts w:ascii="Arial" w:hAnsi="Arial" w:cs="Arial"/>
                <w:color w:val="000000"/>
              </w:rPr>
              <w:t xml:space="preserve"> </w:t>
            </w: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2.2</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have delegated authority to review the performance of the Chief Officer and other senior Clinical Commissioning Group employees and determine any financial rewards as appropriate.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2.3</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have the delegated authority to consider the severance pay of the Chief Officer and any other senior Clinical Commissioning Group employees, seeking HM Treasury Approval as appropriate in accordance with HM Treasury Guidance ‘Managing Public Money’.</w:t>
            </w:r>
          </w:p>
          <w:p w:rsidR="003C60E8" w:rsidRPr="006F4594" w:rsidRDefault="003C60E8" w:rsidP="00BA26B1">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2.4</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The Committee shall make recommendations to the Governing Body on determinations about the remuneration, fees and other allowances for employees of the Clinical Commissioning Group and on determinations about allowances under any pension scheme that the group may </w:t>
            </w:r>
            <w:r w:rsidRPr="006F4594">
              <w:rPr>
                <w:rFonts w:ascii="Arial" w:hAnsi="Arial" w:cs="Arial"/>
                <w:color w:val="000000"/>
              </w:rPr>
              <w:lastRenderedPageBreak/>
              <w:t xml:space="preserve">establish as an alternative to the NHS pension scheme.  </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2.5</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shall make recommendations to the Governing Body on determinations about the remuneration, fees and other allowances for employees of the Clinical Commissioning Group employees outside of or in place of National Agenda for Change arrangements.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3.</w:t>
            </w:r>
          </w:p>
        </w:tc>
        <w:tc>
          <w:tcPr>
            <w:tcW w:w="8731" w:type="dxa"/>
            <w:gridSpan w:val="4"/>
            <w:tcBorders>
              <w:top w:val="nil"/>
              <w:left w:val="nil"/>
              <w:bottom w:val="nil"/>
              <w:right w:val="nil"/>
            </w:tcBorders>
            <w:shd w:val="clear" w:color="auto" w:fill="auto"/>
          </w:tcPr>
          <w:p w:rsidR="003C60E8" w:rsidRPr="006F4594" w:rsidRDefault="003C60E8" w:rsidP="00661416">
            <w:pPr>
              <w:pStyle w:val="ListParagraph"/>
              <w:autoSpaceDE w:val="0"/>
              <w:autoSpaceDN w:val="0"/>
              <w:adjustRightInd w:val="0"/>
              <w:ind w:left="0"/>
              <w:contextualSpacing/>
              <w:jc w:val="both"/>
              <w:rPr>
                <w:rFonts w:cs="Arial"/>
                <w:b/>
                <w:color w:val="000000"/>
                <w:sz w:val="24"/>
              </w:rPr>
            </w:pPr>
            <w:r w:rsidRPr="006F4594">
              <w:rPr>
                <w:rFonts w:cs="Arial"/>
                <w:b/>
                <w:color w:val="000000"/>
                <w:sz w:val="24"/>
              </w:rPr>
              <w:t>Responsibilities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3.1</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Advise the Governing Body on appropriate remuneration and terms of service for the contracted staff of the Clinical Commissioning Group in accordance with relevant national pay frameworks or any other guidance as appropriate. This shall include all aspects of salary (including any performance related elements/ bonuses); provisions for other benefits and any other contractual terms.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3.2</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Advise on and oversee appropriate contractual arrangements for such staff, including the proper calculation and scrutiny of termination payments, excluding ill health and normal retirement, taking into account such national guidance as is appropriate.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3.3</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Approve the design of, and determine targets for, any performance related pay schemes operated by the Clinical Commissioning Group and approve the total annual payments made under such schemes.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3.4</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Determine any adhoc arrangements relating to pension arrangements for any employed staff.</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3.5</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Consider and, if appropriate, approve proposals presented by the Chief Officer and/or the Chairs of the Governing Body for the setting of remuneration and conditions of service for any other employees of the Clinical Commissioning Group not already determined by the Committee. </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3.6</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Review plans produced by the Chairs and/or Chief Officer which set out appropriate succession planning for employed staff, taking into account the challenges and opportunities facing the Clinical Commissioning Group, and what skills and expertise are therefore needed on the Governing in the future.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3.7</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Ensure that all provisions regarding disclosure of remuneration, including pensions, are fulfilled.</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3.8</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Ensure that remuneration and terms and conditions of engagement of all staff are set out in writing in a contract of employment.</w:t>
            </w:r>
          </w:p>
          <w:p w:rsidR="003C60E8" w:rsidRPr="006F4594" w:rsidRDefault="003C60E8" w:rsidP="00661416">
            <w:pPr>
              <w:autoSpaceDE w:val="0"/>
              <w:autoSpaceDN w:val="0"/>
              <w:adjustRightInd w:val="0"/>
              <w:jc w:val="both"/>
              <w:rPr>
                <w:rFonts w:ascii="Arial" w:hAnsi="Arial" w:cs="Arial"/>
                <w:color w:val="000000"/>
              </w:rPr>
            </w:pPr>
          </w:p>
          <w:p w:rsidR="003C60E8" w:rsidRPr="006F4594" w:rsidRDefault="003C60E8" w:rsidP="00661416">
            <w:pPr>
              <w:autoSpaceDE w:val="0"/>
              <w:autoSpaceDN w:val="0"/>
              <w:adjustRightInd w:val="0"/>
              <w:jc w:val="both"/>
              <w:rPr>
                <w:rFonts w:ascii="Arial" w:hAnsi="Arial" w:cs="Arial"/>
                <w:color w:val="000000"/>
              </w:rPr>
            </w:pPr>
          </w:p>
        </w:tc>
      </w:tr>
      <w:tr w:rsidR="00B15FA3"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B15FA3" w:rsidRPr="006F4594" w:rsidRDefault="00B15FA3"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B15FA3" w:rsidRPr="00E20CE6" w:rsidRDefault="00B15FA3" w:rsidP="00661416">
            <w:pPr>
              <w:jc w:val="both"/>
              <w:rPr>
                <w:rFonts w:ascii="Arial" w:eastAsia="MS Mincho" w:hAnsi="Arial" w:cs="Arial"/>
                <w:bCs/>
              </w:rPr>
            </w:pPr>
            <w:r w:rsidRPr="00E20CE6">
              <w:rPr>
                <w:rFonts w:ascii="Arial" w:eastAsia="MS Mincho" w:hAnsi="Arial" w:cs="Arial"/>
                <w:bCs/>
              </w:rPr>
              <w:t>3.9</w:t>
            </w:r>
          </w:p>
        </w:tc>
        <w:tc>
          <w:tcPr>
            <w:tcW w:w="8022" w:type="dxa"/>
            <w:gridSpan w:val="2"/>
            <w:tcBorders>
              <w:top w:val="nil"/>
              <w:left w:val="nil"/>
              <w:bottom w:val="nil"/>
              <w:right w:val="nil"/>
            </w:tcBorders>
            <w:shd w:val="clear" w:color="auto" w:fill="auto"/>
          </w:tcPr>
          <w:p w:rsidR="00B15FA3" w:rsidRPr="009C4EF8" w:rsidRDefault="00B15FA3" w:rsidP="004F6836">
            <w:pPr>
              <w:pStyle w:val="ListParagraph"/>
              <w:rPr>
                <w:rFonts w:cs="Arial"/>
                <w:sz w:val="24"/>
              </w:rPr>
            </w:pPr>
            <w:r w:rsidRPr="009C4EF8">
              <w:rPr>
                <w:rFonts w:cs="Arial"/>
                <w:sz w:val="24"/>
              </w:rPr>
              <w:t>To review the CCGs Assurance Framework and Risk Register at each meeting  of the Committee in particular:</w:t>
            </w:r>
          </w:p>
          <w:p w:rsidR="00B15FA3" w:rsidRPr="009C4EF8" w:rsidRDefault="00B15FA3" w:rsidP="00B15FA3">
            <w:pPr>
              <w:rPr>
                <w:rFonts w:ascii="Arial" w:hAnsi="Arial" w:cs="Arial"/>
              </w:rPr>
            </w:pPr>
          </w:p>
          <w:p w:rsidR="00B15FA3" w:rsidRPr="009C4EF8" w:rsidRDefault="00B15FA3" w:rsidP="00B15FA3">
            <w:pPr>
              <w:ind w:left="720"/>
              <w:rPr>
                <w:rFonts w:ascii="Arial" w:hAnsi="Arial" w:cs="Arial"/>
              </w:rPr>
            </w:pPr>
            <w:r w:rsidRPr="009C4EF8">
              <w:rPr>
                <w:rFonts w:ascii="Arial" w:hAnsi="Arial" w:cs="Arial"/>
              </w:rPr>
              <w:lastRenderedPageBreak/>
              <w:t>Assurance Framework</w:t>
            </w:r>
          </w:p>
          <w:p w:rsidR="00B15FA3" w:rsidRPr="009C4EF8" w:rsidRDefault="00B15FA3" w:rsidP="00B15FA3">
            <w:pPr>
              <w:ind w:left="720"/>
              <w:rPr>
                <w:rFonts w:ascii="Arial" w:hAnsi="Arial" w:cs="Arial"/>
              </w:rPr>
            </w:pPr>
          </w:p>
          <w:p w:rsidR="00B15FA3" w:rsidRPr="009C4EF8" w:rsidRDefault="00B15FA3" w:rsidP="00B15FA3">
            <w:pPr>
              <w:numPr>
                <w:ilvl w:val="0"/>
                <w:numId w:val="4"/>
              </w:numPr>
              <w:ind w:left="1800"/>
              <w:jc w:val="both"/>
              <w:rPr>
                <w:rFonts w:ascii="Arial" w:hAnsi="Arial" w:cs="Arial"/>
              </w:rPr>
            </w:pPr>
            <w:r w:rsidRPr="009C4EF8">
              <w:rPr>
                <w:rFonts w:ascii="Arial" w:hAnsi="Arial" w:cs="Arial"/>
              </w:rPr>
              <w:t xml:space="preserve">Review the risks on the Assurance Framework for which the Committee </w:t>
            </w:r>
            <w:r w:rsidR="00CF2D85">
              <w:rPr>
                <w:rFonts w:ascii="Arial" w:hAnsi="Arial" w:cs="Arial"/>
              </w:rPr>
              <w:t xml:space="preserve">is </w:t>
            </w:r>
            <w:r w:rsidRPr="009C4EF8">
              <w:rPr>
                <w:rFonts w:ascii="Arial" w:hAnsi="Arial" w:cs="Arial"/>
              </w:rPr>
              <w:t>responsible</w:t>
            </w:r>
          </w:p>
          <w:p w:rsidR="00B15FA3" w:rsidRPr="009C4EF8" w:rsidRDefault="00B15FA3" w:rsidP="00B15FA3">
            <w:pPr>
              <w:numPr>
                <w:ilvl w:val="0"/>
                <w:numId w:val="4"/>
              </w:numPr>
              <w:ind w:left="1800"/>
              <w:jc w:val="both"/>
              <w:rPr>
                <w:rFonts w:ascii="Arial" w:hAnsi="Arial" w:cs="Arial"/>
              </w:rPr>
            </w:pPr>
            <w:r w:rsidRPr="009C4EF8">
              <w:rPr>
                <w:rFonts w:ascii="Arial" w:hAnsi="Arial" w:cs="Arial"/>
              </w:rPr>
              <w:t xml:space="preserve">Note and approve the risks assigned to the Committee </w:t>
            </w:r>
          </w:p>
          <w:p w:rsidR="00B15FA3" w:rsidRPr="009C4EF8" w:rsidRDefault="00B15FA3" w:rsidP="00B15FA3">
            <w:pPr>
              <w:numPr>
                <w:ilvl w:val="0"/>
                <w:numId w:val="4"/>
              </w:numPr>
              <w:ind w:left="1800"/>
              <w:jc w:val="both"/>
              <w:rPr>
                <w:rFonts w:ascii="Arial" w:hAnsi="Arial" w:cs="Arial"/>
              </w:rPr>
            </w:pPr>
            <w:r w:rsidRPr="009C4EF8">
              <w:rPr>
                <w:rFonts w:ascii="Arial" w:hAnsi="Arial" w:cs="Arial"/>
              </w:rPr>
              <w:t xml:space="preserve">Review the risk assessment scores for risks </w:t>
            </w:r>
          </w:p>
          <w:p w:rsidR="00B15FA3" w:rsidRPr="009C4EF8" w:rsidRDefault="00B15FA3" w:rsidP="00B15FA3">
            <w:pPr>
              <w:numPr>
                <w:ilvl w:val="0"/>
                <w:numId w:val="4"/>
              </w:numPr>
              <w:ind w:left="1800"/>
              <w:jc w:val="both"/>
              <w:rPr>
                <w:rFonts w:ascii="Arial" w:hAnsi="Arial" w:cs="Arial"/>
              </w:rPr>
            </w:pPr>
            <w:r w:rsidRPr="009C4EF8">
              <w:rPr>
                <w:rFonts w:ascii="Arial" w:hAnsi="Arial" w:cs="Arial"/>
              </w:rPr>
              <w:t>Identify any new risks that present a gap in control for inclusion on the Assurance Framework</w:t>
            </w:r>
          </w:p>
          <w:p w:rsidR="00B15FA3" w:rsidRPr="009C4EF8" w:rsidRDefault="00B15FA3" w:rsidP="00B15FA3">
            <w:pPr>
              <w:pStyle w:val="ListParagraph"/>
              <w:numPr>
                <w:ilvl w:val="0"/>
                <w:numId w:val="4"/>
              </w:numPr>
              <w:ind w:left="1800"/>
              <w:rPr>
                <w:rFonts w:cs="Arial"/>
                <w:sz w:val="24"/>
              </w:rPr>
            </w:pPr>
            <w:r w:rsidRPr="009C4EF8">
              <w:rPr>
                <w:rFonts w:cs="Arial"/>
                <w:sz w:val="24"/>
              </w:rPr>
              <w:t xml:space="preserve">Agree actions to reduce impact of extreme and high risks </w:t>
            </w:r>
          </w:p>
          <w:p w:rsidR="00B15FA3" w:rsidRPr="009C4EF8" w:rsidRDefault="00B15FA3" w:rsidP="00B15FA3">
            <w:pPr>
              <w:pStyle w:val="ListParagraph"/>
              <w:ind w:left="1800"/>
              <w:rPr>
                <w:rFonts w:cs="Arial"/>
                <w:sz w:val="24"/>
              </w:rPr>
            </w:pPr>
          </w:p>
          <w:p w:rsidR="00B15FA3" w:rsidRPr="009C4EF8" w:rsidRDefault="00B15FA3" w:rsidP="00B15FA3">
            <w:pPr>
              <w:ind w:left="720"/>
              <w:rPr>
                <w:rFonts w:ascii="Arial" w:hAnsi="Arial" w:cs="Arial"/>
              </w:rPr>
            </w:pPr>
            <w:r w:rsidRPr="009C4EF8">
              <w:rPr>
                <w:rFonts w:ascii="Arial" w:hAnsi="Arial" w:cs="Arial"/>
              </w:rPr>
              <w:t>Risk Register</w:t>
            </w:r>
          </w:p>
          <w:p w:rsidR="00B15FA3" w:rsidRPr="009C4EF8" w:rsidRDefault="00B15FA3" w:rsidP="00B15FA3">
            <w:pPr>
              <w:ind w:left="720"/>
              <w:rPr>
                <w:rFonts w:ascii="Arial" w:hAnsi="Arial" w:cs="Arial"/>
              </w:rPr>
            </w:pPr>
          </w:p>
          <w:p w:rsidR="00B15FA3" w:rsidRPr="009C4EF8" w:rsidRDefault="00B15FA3" w:rsidP="00B15FA3">
            <w:pPr>
              <w:numPr>
                <w:ilvl w:val="0"/>
                <w:numId w:val="5"/>
              </w:numPr>
              <w:ind w:left="1800"/>
              <w:jc w:val="both"/>
              <w:rPr>
                <w:rFonts w:ascii="Arial" w:hAnsi="Arial" w:cs="Arial"/>
              </w:rPr>
            </w:pPr>
            <w:r w:rsidRPr="009C4EF8">
              <w:rPr>
                <w:rFonts w:ascii="Arial" w:hAnsi="Arial" w:cs="Arial"/>
              </w:rPr>
              <w:t xml:space="preserve">Review those risk on the Risk Register for which the Committee </w:t>
            </w:r>
            <w:r w:rsidR="00CF2D85">
              <w:rPr>
                <w:rFonts w:ascii="Arial" w:hAnsi="Arial" w:cs="Arial"/>
              </w:rPr>
              <w:t xml:space="preserve">is </w:t>
            </w:r>
            <w:r w:rsidRPr="009C4EF8">
              <w:rPr>
                <w:rFonts w:ascii="Arial" w:hAnsi="Arial" w:cs="Arial"/>
              </w:rPr>
              <w:t xml:space="preserve">responsible for completeness and accuracy </w:t>
            </w:r>
          </w:p>
          <w:p w:rsidR="00B15FA3" w:rsidRPr="009C4EF8" w:rsidRDefault="00B15FA3" w:rsidP="00B15FA3">
            <w:pPr>
              <w:numPr>
                <w:ilvl w:val="0"/>
                <w:numId w:val="5"/>
              </w:numPr>
              <w:ind w:left="1800"/>
              <w:jc w:val="both"/>
              <w:rPr>
                <w:rFonts w:ascii="Arial" w:hAnsi="Arial" w:cs="Arial"/>
              </w:rPr>
            </w:pPr>
            <w:r w:rsidRPr="009C4EF8">
              <w:rPr>
                <w:rFonts w:ascii="Arial" w:hAnsi="Arial" w:cs="Arial"/>
              </w:rPr>
              <w:t>Note and approve the risks assigned to the Committee</w:t>
            </w:r>
          </w:p>
          <w:p w:rsidR="00B15FA3" w:rsidRPr="009C4EF8" w:rsidRDefault="00B15FA3" w:rsidP="00B15FA3">
            <w:pPr>
              <w:numPr>
                <w:ilvl w:val="0"/>
                <w:numId w:val="5"/>
              </w:numPr>
              <w:ind w:left="1800"/>
              <w:jc w:val="both"/>
              <w:rPr>
                <w:rFonts w:ascii="Arial" w:hAnsi="Arial" w:cs="Arial"/>
              </w:rPr>
            </w:pPr>
            <w:r w:rsidRPr="009C4EF8">
              <w:rPr>
                <w:rFonts w:ascii="Arial" w:hAnsi="Arial" w:cs="Arial"/>
              </w:rPr>
              <w:t>Review the risk assessment scores for risks</w:t>
            </w:r>
          </w:p>
          <w:p w:rsidR="00B15FA3" w:rsidRPr="009C4EF8" w:rsidRDefault="00B15FA3" w:rsidP="00B15FA3">
            <w:pPr>
              <w:numPr>
                <w:ilvl w:val="0"/>
                <w:numId w:val="5"/>
              </w:numPr>
              <w:ind w:left="1800"/>
              <w:jc w:val="both"/>
              <w:rPr>
                <w:rFonts w:ascii="Arial" w:hAnsi="Arial" w:cs="Arial"/>
              </w:rPr>
            </w:pPr>
            <w:r w:rsidRPr="009C4EF8">
              <w:rPr>
                <w:rFonts w:ascii="Arial" w:hAnsi="Arial" w:cs="Arial"/>
              </w:rPr>
              <w:t>Identify any new risks for inclusion on the Risk Register</w:t>
            </w:r>
          </w:p>
          <w:p w:rsidR="00B15FA3" w:rsidRPr="009C4EF8" w:rsidRDefault="00B15FA3" w:rsidP="00B15FA3">
            <w:pPr>
              <w:pStyle w:val="ListParagraph"/>
              <w:numPr>
                <w:ilvl w:val="0"/>
                <w:numId w:val="5"/>
              </w:numPr>
              <w:ind w:left="1800"/>
              <w:rPr>
                <w:rFonts w:cs="Arial"/>
                <w:sz w:val="24"/>
              </w:rPr>
            </w:pPr>
            <w:r w:rsidRPr="009C4EF8">
              <w:rPr>
                <w:rFonts w:cs="Arial"/>
                <w:sz w:val="24"/>
              </w:rPr>
              <w:t>Agree actions to reduce impact of extreme and high risks.</w:t>
            </w:r>
          </w:p>
          <w:p w:rsidR="00B15FA3" w:rsidRPr="009C4EF8" w:rsidRDefault="00B15FA3" w:rsidP="00B15FA3">
            <w:pPr>
              <w:pStyle w:val="ListParagraph"/>
              <w:numPr>
                <w:ilvl w:val="0"/>
                <w:numId w:val="5"/>
              </w:numPr>
              <w:ind w:left="1800"/>
              <w:rPr>
                <w:rFonts w:cs="Arial"/>
                <w:sz w:val="24"/>
              </w:rPr>
            </w:pPr>
            <w:r w:rsidRPr="009C4EF8">
              <w:rPr>
                <w:rFonts w:cs="Arial"/>
                <w:sz w:val="24"/>
              </w:rPr>
              <w:t>Consider and agreed whether risks are being effectively managed</w:t>
            </w:r>
          </w:p>
          <w:p w:rsidR="00B15FA3" w:rsidRPr="00E20CE6" w:rsidRDefault="00B15FA3" w:rsidP="00661416">
            <w:pPr>
              <w:autoSpaceDE w:val="0"/>
              <w:autoSpaceDN w:val="0"/>
              <w:adjustRightInd w:val="0"/>
              <w:jc w:val="both"/>
              <w:rPr>
                <w:rFonts w:ascii="Arial" w:hAnsi="Arial" w:cs="Arial"/>
                <w:color w:val="000000"/>
              </w:rPr>
            </w:pPr>
          </w:p>
        </w:tc>
      </w:tr>
      <w:tr w:rsidR="002969A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2969A8" w:rsidRPr="006F4594" w:rsidRDefault="002969A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2969A8" w:rsidRPr="006F4594" w:rsidRDefault="002969A8" w:rsidP="00661416">
            <w:pPr>
              <w:jc w:val="both"/>
              <w:rPr>
                <w:rFonts w:ascii="Arial" w:eastAsia="MS Mincho" w:hAnsi="Arial" w:cs="Arial"/>
                <w:bCs/>
              </w:rPr>
            </w:pPr>
            <w:r>
              <w:rPr>
                <w:rFonts w:ascii="Arial" w:eastAsia="MS Mincho" w:hAnsi="Arial" w:cs="Arial"/>
                <w:bCs/>
              </w:rPr>
              <w:t>3.10</w:t>
            </w:r>
          </w:p>
        </w:tc>
        <w:tc>
          <w:tcPr>
            <w:tcW w:w="8022" w:type="dxa"/>
            <w:gridSpan w:val="2"/>
            <w:tcBorders>
              <w:top w:val="nil"/>
              <w:left w:val="nil"/>
              <w:bottom w:val="nil"/>
              <w:right w:val="nil"/>
            </w:tcBorders>
            <w:shd w:val="clear" w:color="auto" w:fill="auto"/>
          </w:tcPr>
          <w:p w:rsidR="002969A8" w:rsidRDefault="002969A8" w:rsidP="002969A8">
            <w:pPr>
              <w:autoSpaceDE w:val="0"/>
              <w:autoSpaceDN w:val="0"/>
              <w:adjustRightInd w:val="0"/>
              <w:jc w:val="both"/>
              <w:rPr>
                <w:rFonts w:ascii="Arial" w:hAnsi="Arial" w:cs="Arial"/>
                <w:color w:val="000000"/>
              </w:rPr>
            </w:pPr>
            <w:r>
              <w:rPr>
                <w:rFonts w:ascii="Arial" w:hAnsi="Arial" w:cs="Arial"/>
                <w:color w:val="000000"/>
              </w:rPr>
              <w:t>In accordance with the CCG’s Constitution t</w:t>
            </w:r>
            <w:r w:rsidRPr="002969A8">
              <w:rPr>
                <w:rFonts w:ascii="Arial" w:hAnsi="Arial" w:cs="Arial"/>
                <w:color w:val="000000"/>
              </w:rPr>
              <w:t xml:space="preserve">he appointment process </w:t>
            </w:r>
            <w:r>
              <w:rPr>
                <w:rFonts w:ascii="Arial" w:hAnsi="Arial" w:cs="Arial"/>
                <w:color w:val="000000"/>
              </w:rPr>
              <w:t xml:space="preserve">for Lay Members, the Practice Manager, the Secondary Care Clinician, the Chief Officer, the Chief Finance Officer, the Chief Nurse, and the Medical Director </w:t>
            </w:r>
            <w:r w:rsidRPr="002969A8">
              <w:rPr>
                <w:rFonts w:ascii="Arial" w:hAnsi="Arial" w:cs="Arial"/>
                <w:color w:val="000000"/>
              </w:rPr>
              <w:t>will operate under best guidance.  The Remuneration Commit</w:t>
            </w:r>
            <w:r>
              <w:rPr>
                <w:rFonts w:ascii="Arial" w:hAnsi="Arial" w:cs="Arial"/>
                <w:color w:val="000000"/>
              </w:rPr>
              <w:t xml:space="preserve">tee will determine the </w:t>
            </w:r>
            <w:r w:rsidR="00124D39">
              <w:rPr>
                <w:rFonts w:ascii="Arial" w:hAnsi="Arial" w:cs="Arial"/>
                <w:color w:val="000000"/>
              </w:rPr>
              <w:t>detail of</w:t>
            </w:r>
            <w:r w:rsidRPr="002969A8">
              <w:rPr>
                <w:rFonts w:ascii="Arial" w:hAnsi="Arial" w:cs="Arial"/>
                <w:color w:val="000000"/>
              </w:rPr>
              <w:t xml:space="preserve"> the process.  </w:t>
            </w:r>
          </w:p>
          <w:p w:rsidR="002969A8" w:rsidRPr="006F4594" w:rsidRDefault="002969A8" w:rsidP="002969A8">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2969A8">
            <w:pPr>
              <w:jc w:val="both"/>
              <w:rPr>
                <w:rFonts w:ascii="Arial" w:eastAsia="MS Mincho" w:hAnsi="Arial" w:cs="Arial"/>
                <w:bCs/>
              </w:rPr>
            </w:pPr>
            <w:r w:rsidRPr="006F4594">
              <w:rPr>
                <w:rFonts w:ascii="Arial" w:eastAsia="MS Mincho" w:hAnsi="Arial" w:cs="Arial"/>
                <w:bCs/>
              </w:rPr>
              <w:t>3.</w:t>
            </w:r>
            <w:r w:rsidR="00B15FA3">
              <w:rPr>
                <w:rFonts w:ascii="Arial" w:eastAsia="MS Mincho" w:hAnsi="Arial" w:cs="Arial"/>
                <w:bCs/>
              </w:rPr>
              <w:t>1</w:t>
            </w:r>
            <w:r w:rsidR="002969A8">
              <w:rPr>
                <w:rFonts w:ascii="Arial" w:eastAsia="MS Mincho" w:hAnsi="Arial" w:cs="Arial"/>
                <w:bCs/>
              </w:rPr>
              <w:t>1</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The Committee shall report in writing to the Governing Body the basis of its decisions and recommendations.  Minutes of the Committee’s meetings should record such decisions. </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4.</w:t>
            </w:r>
          </w:p>
        </w:tc>
        <w:tc>
          <w:tcPr>
            <w:tcW w:w="8731" w:type="dxa"/>
            <w:gridSpan w:val="4"/>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Membership</w:t>
            </w:r>
          </w:p>
          <w:p w:rsidR="003C60E8" w:rsidRPr="006F4594" w:rsidRDefault="003C60E8" w:rsidP="00661416">
            <w:pPr>
              <w:autoSpaceDE w:val="0"/>
              <w:autoSpaceDN w:val="0"/>
              <w:adjustRightInd w:val="0"/>
              <w:jc w:val="both"/>
              <w:rPr>
                <w:rFonts w:ascii="Arial" w:hAnsi="Arial" w:cs="Arial"/>
                <w:b/>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4.1</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eastAsia="MS Mincho" w:hAnsi="Arial" w:cs="Arial"/>
                <w:lang w:val="en-US" w:eastAsia="ja-JP"/>
              </w:rPr>
            </w:pPr>
            <w:r>
              <w:rPr>
                <w:rFonts w:ascii="Arial" w:hAnsi="Arial" w:cs="Arial"/>
                <w:color w:val="000000"/>
              </w:rPr>
              <w:t>The Membership of the</w:t>
            </w:r>
            <w:r w:rsidRPr="006F4594">
              <w:rPr>
                <w:rFonts w:ascii="Arial" w:hAnsi="Arial" w:cs="Arial"/>
                <w:color w:val="000000"/>
              </w:rPr>
              <w:t xml:space="preserve"> Remuneration Committee will be: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p>
        </w:tc>
        <w:tc>
          <w:tcPr>
            <w:tcW w:w="851"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4.1.1</w:t>
            </w:r>
          </w:p>
        </w:tc>
        <w:tc>
          <w:tcPr>
            <w:tcW w:w="7171"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eastAsia="MS Mincho" w:hAnsi="Arial" w:cs="Arial"/>
                <w:lang w:val="en-US" w:eastAsia="ja-JP"/>
              </w:rPr>
            </w:pPr>
            <w:r w:rsidRPr="006F4594">
              <w:rPr>
                <w:rFonts w:ascii="Arial" w:eastAsia="MS Mincho" w:hAnsi="Arial" w:cs="Arial"/>
                <w:lang w:val="en-US" w:eastAsia="ja-JP"/>
              </w:rPr>
              <w:t>Lay Member Chair ( Audit Committee Chair)</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p>
        </w:tc>
        <w:tc>
          <w:tcPr>
            <w:tcW w:w="851"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4.1.2</w:t>
            </w:r>
          </w:p>
        </w:tc>
        <w:tc>
          <w:tcPr>
            <w:tcW w:w="7171"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eastAsia="MS Mincho" w:hAnsi="Arial" w:cs="Arial"/>
                <w:lang w:val="en-US" w:eastAsia="ja-JP"/>
              </w:rPr>
            </w:pPr>
            <w:r w:rsidRPr="006F4594">
              <w:rPr>
                <w:rFonts w:ascii="Arial" w:eastAsia="MS Mincho" w:hAnsi="Arial" w:cs="Arial"/>
                <w:lang w:val="en-US" w:eastAsia="ja-JP"/>
              </w:rPr>
              <w:t>Lay Member - Deputy Chair</w:t>
            </w:r>
            <w:r w:rsidR="00CF2D85">
              <w:rPr>
                <w:rFonts w:ascii="Arial" w:eastAsia="MS Mincho" w:hAnsi="Arial" w:cs="Arial"/>
                <w:lang w:val="en-US" w:eastAsia="ja-JP"/>
              </w:rPr>
              <w:t xml:space="preserve"> (Patient and Public Engagement and Primary </w:t>
            </w:r>
            <w:r w:rsidR="00082BF1">
              <w:rPr>
                <w:rFonts w:ascii="Arial" w:eastAsia="MS Mincho" w:hAnsi="Arial" w:cs="Arial"/>
                <w:lang w:val="en-US" w:eastAsia="ja-JP"/>
              </w:rPr>
              <w:t>C</w:t>
            </w:r>
            <w:r w:rsidR="00CF2D85">
              <w:rPr>
                <w:rFonts w:ascii="Arial" w:eastAsia="MS Mincho" w:hAnsi="Arial" w:cs="Arial"/>
                <w:lang w:val="en-US" w:eastAsia="ja-JP"/>
              </w:rPr>
              <w:t>are Commissioning</w:t>
            </w:r>
            <w:r w:rsidR="00082BF1">
              <w:rPr>
                <w:rFonts w:ascii="Arial" w:eastAsia="MS Mincho" w:hAnsi="Arial" w:cs="Arial"/>
                <w:lang w:val="en-US" w:eastAsia="ja-JP"/>
              </w:rPr>
              <w:t xml:space="preserve"> Chair</w:t>
            </w:r>
            <w:r w:rsidR="00CF2D85">
              <w:rPr>
                <w:rFonts w:ascii="Arial" w:eastAsia="MS Mincho" w:hAnsi="Arial" w:cs="Arial"/>
                <w:lang w:val="en-US" w:eastAsia="ja-JP"/>
              </w:rPr>
              <w:t>)</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p>
        </w:tc>
        <w:tc>
          <w:tcPr>
            <w:tcW w:w="851"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4.1.3</w:t>
            </w:r>
          </w:p>
        </w:tc>
        <w:tc>
          <w:tcPr>
            <w:tcW w:w="7171" w:type="dxa"/>
            <w:tcBorders>
              <w:top w:val="nil"/>
              <w:left w:val="nil"/>
              <w:bottom w:val="nil"/>
              <w:right w:val="nil"/>
            </w:tcBorders>
            <w:shd w:val="clear" w:color="auto" w:fill="auto"/>
          </w:tcPr>
          <w:p w:rsidR="003C60E8" w:rsidRPr="006F4594" w:rsidRDefault="00C5425D" w:rsidP="00661416">
            <w:pPr>
              <w:autoSpaceDE w:val="0"/>
              <w:autoSpaceDN w:val="0"/>
              <w:adjustRightInd w:val="0"/>
              <w:jc w:val="both"/>
              <w:rPr>
                <w:rFonts w:ascii="Arial" w:eastAsia="MS Mincho" w:hAnsi="Arial" w:cs="Arial"/>
                <w:lang w:val="en-US" w:eastAsia="ja-JP"/>
              </w:rPr>
            </w:pPr>
            <w:r>
              <w:rPr>
                <w:rFonts w:ascii="Arial" w:eastAsia="MS Mincho" w:hAnsi="Arial" w:cs="Arial"/>
                <w:lang w:val="en-US" w:eastAsia="ja-JP"/>
              </w:rPr>
              <w:t>Five</w:t>
            </w:r>
            <w:r w:rsidR="003C60E8" w:rsidRPr="006F4594">
              <w:rPr>
                <w:rFonts w:ascii="Arial" w:eastAsia="MS Mincho" w:hAnsi="Arial" w:cs="Arial"/>
                <w:lang w:val="en-US" w:eastAsia="ja-JP"/>
              </w:rPr>
              <w:t xml:space="preserve"> members of the Governing Body to include: </w:t>
            </w:r>
          </w:p>
          <w:p w:rsidR="003C60E8" w:rsidRPr="006F4594" w:rsidRDefault="003C60E8" w:rsidP="00661416">
            <w:pPr>
              <w:autoSpaceDE w:val="0"/>
              <w:autoSpaceDN w:val="0"/>
              <w:adjustRightInd w:val="0"/>
              <w:jc w:val="both"/>
              <w:rPr>
                <w:rFonts w:ascii="Arial" w:eastAsia="MS Mincho" w:hAnsi="Arial" w:cs="Arial"/>
                <w:lang w:val="en-US" w:eastAsia="ja-JP"/>
              </w:rPr>
            </w:pPr>
          </w:p>
          <w:p w:rsidR="003C60E8" w:rsidRPr="00187C6D" w:rsidRDefault="00CF2D85" w:rsidP="00187C6D">
            <w:pPr>
              <w:pStyle w:val="ListParagraph"/>
              <w:numPr>
                <w:ilvl w:val="0"/>
                <w:numId w:val="1"/>
              </w:numPr>
              <w:tabs>
                <w:tab w:val="left" w:pos="1701"/>
              </w:tabs>
              <w:autoSpaceDE w:val="0"/>
              <w:autoSpaceDN w:val="0"/>
              <w:adjustRightInd w:val="0"/>
              <w:contextualSpacing/>
              <w:jc w:val="both"/>
              <w:rPr>
                <w:rFonts w:eastAsia="MS Mincho" w:cs="Arial"/>
                <w:sz w:val="24"/>
                <w:lang w:val="en-US" w:eastAsia="ja-JP"/>
              </w:rPr>
            </w:pPr>
            <w:r>
              <w:rPr>
                <w:rFonts w:eastAsia="MS Mincho" w:cs="Arial"/>
                <w:sz w:val="24"/>
                <w:lang w:val="en-US" w:eastAsia="ja-JP"/>
              </w:rPr>
              <w:t>Three Elected Members of the Governing Body: specifically t</w:t>
            </w:r>
            <w:r w:rsidR="003C60E8" w:rsidRPr="00187C6D">
              <w:rPr>
                <w:rFonts w:eastAsia="MS Mincho" w:cs="Arial"/>
                <w:sz w:val="24"/>
                <w:lang w:val="en-US" w:eastAsia="ja-JP"/>
              </w:rPr>
              <w:t>he Chair</w:t>
            </w:r>
            <w:r>
              <w:rPr>
                <w:rFonts w:eastAsia="MS Mincho" w:cs="Arial"/>
                <w:sz w:val="24"/>
                <w:lang w:val="en-US" w:eastAsia="ja-JP"/>
              </w:rPr>
              <w:t>, and the</w:t>
            </w:r>
            <w:r w:rsidR="00AB08BE">
              <w:rPr>
                <w:rFonts w:eastAsia="MS Mincho" w:cs="Arial"/>
                <w:sz w:val="24"/>
                <w:lang w:val="en-US" w:eastAsia="ja-JP"/>
              </w:rPr>
              <w:t xml:space="preserve"> </w:t>
            </w:r>
            <w:r w:rsidR="003C60E8" w:rsidRPr="00187C6D">
              <w:rPr>
                <w:rFonts w:eastAsia="MS Mincho" w:cs="Arial"/>
                <w:sz w:val="24"/>
                <w:lang w:val="en-US" w:eastAsia="ja-JP"/>
              </w:rPr>
              <w:t xml:space="preserve">Governing Body Member representatives from the Finance and Performance Committee (Dr J Harban </w:t>
            </w:r>
            <w:r w:rsidR="003C60E8" w:rsidRPr="00187C6D">
              <w:rPr>
                <w:rFonts w:eastAsia="MS Mincho" w:cs="Arial"/>
                <w:sz w:val="24"/>
                <w:lang w:val="en-US" w:eastAsia="ja-JP"/>
              </w:rPr>
              <w:lastRenderedPageBreak/>
              <w:t>&amp; Dr N Luscombe)</w:t>
            </w:r>
          </w:p>
          <w:p w:rsidR="00B835A4" w:rsidRDefault="006D0127" w:rsidP="003C60E8">
            <w:pPr>
              <w:pStyle w:val="ListParagraph"/>
              <w:numPr>
                <w:ilvl w:val="0"/>
                <w:numId w:val="1"/>
              </w:numPr>
              <w:tabs>
                <w:tab w:val="left" w:pos="1701"/>
              </w:tabs>
              <w:autoSpaceDE w:val="0"/>
              <w:autoSpaceDN w:val="0"/>
              <w:adjustRightInd w:val="0"/>
              <w:contextualSpacing/>
              <w:jc w:val="both"/>
              <w:rPr>
                <w:rFonts w:eastAsia="MS Mincho" w:cs="Arial"/>
                <w:sz w:val="24"/>
                <w:lang w:val="en-US" w:eastAsia="ja-JP"/>
              </w:rPr>
            </w:pPr>
            <w:r>
              <w:rPr>
                <w:rFonts w:eastAsia="MS Mincho" w:cs="Arial"/>
                <w:sz w:val="24"/>
                <w:lang w:val="en-US" w:eastAsia="ja-JP"/>
              </w:rPr>
              <w:t>Secondary Care Clinician</w:t>
            </w:r>
          </w:p>
          <w:p w:rsidR="00B835A4" w:rsidRPr="006F4594" w:rsidRDefault="00B835A4" w:rsidP="003C60E8">
            <w:pPr>
              <w:pStyle w:val="ListParagraph"/>
              <w:numPr>
                <w:ilvl w:val="0"/>
                <w:numId w:val="1"/>
              </w:numPr>
              <w:tabs>
                <w:tab w:val="left" w:pos="1701"/>
              </w:tabs>
              <w:autoSpaceDE w:val="0"/>
              <w:autoSpaceDN w:val="0"/>
              <w:adjustRightInd w:val="0"/>
              <w:contextualSpacing/>
              <w:jc w:val="both"/>
              <w:rPr>
                <w:rFonts w:eastAsia="MS Mincho" w:cs="Arial"/>
                <w:sz w:val="24"/>
                <w:lang w:val="en-US" w:eastAsia="ja-JP"/>
              </w:rPr>
            </w:pPr>
            <w:r>
              <w:rPr>
                <w:rFonts w:eastAsia="MS Mincho" w:cs="Arial"/>
                <w:sz w:val="24"/>
                <w:lang w:val="en-US" w:eastAsia="ja-JP"/>
              </w:rPr>
              <w:t xml:space="preserve">Practice </w:t>
            </w:r>
            <w:r w:rsidR="006D0127">
              <w:rPr>
                <w:rFonts w:eastAsia="MS Mincho" w:cs="Arial"/>
                <w:sz w:val="24"/>
                <w:lang w:val="en-US" w:eastAsia="ja-JP"/>
              </w:rPr>
              <w:t>M</w:t>
            </w:r>
            <w:r>
              <w:rPr>
                <w:rFonts w:eastAsia="MS Mincho" w:cs="Arial"/>
                <w:sz w:val="24"/>
                <w:lang w:val="en-US" w:eastAsia="ja-JP"/>
              </w:rPr>
              <w:t>anager</w:t>
            </w:r>
          </w:p>
          <w:p w:rsidR="003C60E8" w:rsidRDefault="003C60E8" w:rsidP="00661416">
            <w:pPr>
              <w:autoSpaceDE w:val="0"/>
              <w:autoSpaceDN w:val="0"/>
              <w:adjustRightInd w:val="0"/>
              <w:jc w:val="both"/>
              <w:rPr>
                <w:rFonts w:ascii="Arial" w:hAnsi="Arial" w:cs="Arial"/>
                <w:color w:val="000000"/>
              </w:rPr>
            </w:pPr>
          </w:p>
          <w:p w:rsidR="00CF2D85" w:rsidRPr="006F4594" w:rsidRDefault="00CF2D85" w:rsidP="00661416">
            <w:pPr>
              <w:autoSpaceDE w:val="0"/>
              <w:autoSpaceDN w:val="0"/>
              <w:adjustRightInd w:val="0"/>
              <w:jc w:val="both"/>
              <w:rPr>
                <w:rFonts w:ascii="Arial" w:hAnsi="Arial" w:cs="Arial"/>
                <w:color w:val="000000"/>
              </w:rPr>
            </w:pPr>
          </w:p>
        </w:tc>
      </w:tr>
      <w:tr w:rsidR="00B835A4"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B835A4" w:rsidRPr="006F4594" w:rsidRDefault="00B835A4"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B835A4" w:rsidRPr="006F4594" w:rsidRDefault="00B835A4" w:rsidP="00661416">
            <w:pPr>
              <w:jc w:val="both"/>
              <w:rPr>
                <w:rFonts w:ascii="Arial" w:eastAsia="MS Mincho" w:hAnsi="Arial" w:cs="Arial"/>
                <w:bCs/>
              </w:rPr>
            </w:pPr>
          </w:p>
        </w:tc>
        <w:tc>
          <w:tcPr>
            <w:tcW w:w="851" w:type="dxa"/>
            <w:tcBorders>
              <w:top w:val="nil"/>
              <w:left w:val="nil"/>
              <w:bottom w:val="nil"/>
              <w:right w:val="nil"/>
            </w:tcBorders>
            <w:shd w:val="clear" w:color="auto" w:fill="auto"/>
          </w:tcPr>
          <w:p w:rsidR="00B835A4" w:rsidRPr="006F4594" w:rsidRDefault="00B835A4" w:rsidP="00661416">
            <w:pPr>
              <w:autoSpaceDE w:val="0"/>
              <w:autoSpaceDN w:val="0"/>
              <w:adjustRightInd w:val="0"/>
              <w:jc w:val="both"/>
              <w:rPr>
                <w:rFonts w:ascii="Arial" w:hAnsi="Arial" w:cs="Arial"/>
                <w:color w:val="000000"/>
              </w:rPr>
            </w:pPr>
          </w:p>
        </w:tc>
        <w:tc>
          <w:tcPr>
            <w:tcW w:w="7171" w:type="dxa"/>
            <w:tcBorders>
              <w:top w:val="nil"/>
              <w:left w:val="nil"/>
              <w:bottom w:val="nil"/>
              <w:right w:val="nil"/>
            </w:tcBorders>
            <w:shd w:val="clear" w:color="auto" w:fill="auto"/>
          </w:tcPr>
          <w:p w:rsidR="00B835A4" w:rsidRPr="006F4594" w:rsidRDefault="00B835A4" w:rsidP="00661416">
            <w:pPr>
              <w:autoSpaceDE w:val="0"/>
              <w:autoSpaceDN w:val="0"/>
              <w:adjustRightInd w:val="0"/>
              <w:jc w:val="both"/>
              <w:rPr>
                <w:rFonts w:ascii="Arial" w:eastAsia="MS Mincho" w:hAnsi="Arial" w:cs="Arial"/>
                <w:lang w:val="en-US" w:eastAsia="ja-JP"/>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4.2</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Chief Officer will be in attendance (except when</w:t>
            </w:r>
            <w:r w:rsidR="00E20CE6">
              <w:rPr>
                <w:rFonts w:ascii="Arial" w:hAnsi="Arial" w:cs="Arial"/>
                <w:color w:val="000000"/>
              </w:rPr>
              <w:t xml:space="preserve"> personal issues are discussed),</w:t>
            </w:r>
            <w:r w:rsidR="00E20CE6" w:rsidRPr="006F4594">
              <w:rPr>
                <w:rFonts w:ascii="Arial" w:eastAsia="MS Mincho" w:hAnsi="Arial" w:cs="Arial"/>
                <w:lang w:eastAsia="ja-JP"/>
              </w:rPr>
              <w:t xml:space="preserve"> but not as a member.</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4.3</w:t>
            </w:r>
          </w:p>
        </w:tc>
        <w:tc>
          <w:tcPr>
            <w:tcW w:w="8022" w:type="dxa"/>
            <w:gridSpan w:val="2"/>
            <w:tcBorders>
              <w:top w:val="nil"/>
              <w:left w:val="nil"/>
              <w:bottom w:val="nil"/>
              <w:right w:val="nil"/>
            </w:tcBorders>
            <w:shd w:val="clear" w:color="auto" w:fill="auto"/>
          </w:tcPr>
          <w:p w:rsidR="003C60E8" w:rsidRPr="006F4594" w:rsidRDefault="006D0127" w:rsidP="00661416">
            <w:pPr>
              <w:autoSpaceDE w:val="0"/>
              <w:autoSpaceDN w:val="0"/>
              <w:adjustRightInd w:val="0"/>
              <w:jc w:val="both"/>
              <w:rPr>
                <w:rFonts w:ascii="Arial" w:hAnsi="Arial" w:cs="Arial"/>
                <w:color w:val="000000"/>
              </w:rPr>
            </w:pPr>
            <w:r>
              <w:rPr>
                <w:rFonts w:ascii="Arial" w:hAnsi="Arial" w:cs="Arial"/>
                <w:color w:val="000000"/>
              </w:rPr>
              <w:t xml:space="preserve">The </w:t>
            </w:r>
            <w:r w:rsidR="00124D39">
              <w:rPr>
                <w:rFonts w:ascii="Arial" w:hAnsi="Arial" w:cs="Arial"/>
                <w:color w:val="000000"/>
              </w:rPr>
              <w:t>Head of Integration and Partnership</w:t>
            </w:r>
            <w:r w:rsidR="003C60E8" w:rsidRPr="006F4594">
              <w:rPr>
                <w:rFonts w:ascii="Arial" w:eastAsia="MS Mincho" w:hAnsi="Arial" w:cs="Arial"/>
                <w:lang w:eastAsia="ja-JP"/>
              </w:rPr>
              <w:t xml:space="preserve"> will be in attendance to support the Committee in its work, but not as a member.</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4.4</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eastAsia="MS Mincho" w:hAnsi="Arial" w:cs="Arial"/>
                <w:lang w:eastAsia="ja-JP"/>
              </w:rPr>
              <w:t>The Human Resources Business Partner will be in attendance to support the Committee in its work, but not as a member.</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5.</w:t>
            </w:r>
          </w:p>
        </w:tc>
        <w:tc>
          <w:tcPr>
            <w:tcW w:w="8731" w:type="dxa"/>
            <w:gridSpan w:val="4"/>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Quorum</w:t>
            </w:r>
          </w:p>
          <w:p w:rsidR="003C60E8" w:rsidRPr="006F4594" w:rsidRDefault="003C60E8" w:rsidP="00661416">
            <w:pPr>
              <w:autoSpaceDE w:val="0"/>
              <w:autoSpaceDN w:val="0"/>
              <w:adjustRightInd w:val="0"/>
              <w:jc w:val="both"/>
              <w:rPr>
                <w:rFonts w:ascii="Arial" w:hAnsi="Arial" w:cs="Arial"/>
                <w:b/>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5.1</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eastAsia="MS Mincho" w:hAnsi="Arial" w:cs="Arial"/>
                <w:lang w:eastAsia="ja-JP"/>
              </w:rPr>
            </w:pPr>
            <w:r w:rsidRPr="006F4594">
              <w:rPr>
                <w:rFonts w:ascii="Arial" w:eastAsia="MS Mincho" w:hAnsi="Arial" w:cs="Arial"/>
                <w:lang w:eastAsia="ja-JP"/>
              </w:rPr>
              <w:t>A m</w:t>
            </w:r>
            <w:r w:rsidR="00B835A4">
              <w:rPr>
                <w:rFonts w:ascii="Arial" w:eastAsia="MS Mincho" w:hAnsi="Arial" w:cs="Arial"/>
                <w:lang w:eastAsia="ja-JP"/>
              </w:rPr>
              <w:t>inimum of one Lay Member and three</w:t>
            </w:r>
            <w:r w:rsidRPr="006F4594">
              <w:rPr>
                <w:rFonts w:ascii="Arial" w:eastAsia="MS Mincho" w:hAnsi="Arial" w:cs="Arial"/>
                <w:lang w:eastAsia="ja-JP"/>
              </w:rPr>
              <w:t xml:space="preserve"> other m</w:t>
            </w:r>
            <w:r>
              <w:rPr>
                <w:rFonts w:ascii="Arial" w:eastAsia="MS Mincho" w:hAnsi="Arial" w:cs="Arial"/>
                <w:lang w:eastAsia="ja-JP"/>
              </w:rPr>
              <w:t>embers</w:t>
            </w:r>
            <w:r w:rsidRPr="006F4594">
              <w:rPr>
                <w:rFonts w:ascii="Arial" w:eastAsia="MS Mincho" w:hAnsi="Arial" w:cs="Arial"/>
                <w:lang w:eastAsia="ja-JP"/>
              </w:rPr>
              <w:t xml:space="preserve"> will constitute a quorum.</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5.2</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eastAsia="MS Mincho" w:hAnsi="Arial" w:cs="Arial"/>
                <w:lang w:eastAsia="ja-JP"/>
              </w:rPr>
            </w:pPr>
            <w:r w:rsidRPr="006F4594">
              <w:rPr>
                <w:rFonts w:ascii="Arial" w:hAnsi="Arial" w:cs="Arial"/>
                <w:color w:val="000000"/>
              </w:rPr>
              <w:t>A decision put to a vote at the meeting shall be determined by a majority of the votes of members present. In the case of an equal vote, the Chair of the Committee shall have a second and casting vote.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6.</w:t>
            </w:r>
          </w:p>
        </w:tc>
        <w:tc>
          <w:tcPr>
            <w:tcW w:w="8731" w:type="dxa"/>
            <w:gridSpan w:val="4"/>
            <w:tcBorders>
              <w:top w:val="nil"/>
              <w:left w:val="nil"/>
              <w:bottom w:val="nil"/>
              <w:right w:val="nil"/>
            </w:tcBorders>
            <w:shd w:val="clear" w:color="auto" w:fill="auto"/>
          </w:tcPr>
          <w:p w:rsidR="003C60E8" w:rsidRPr="006F4594" w:rsidRDefault="003C60E8" w:rsidP="00661416">
            <w:pPr>
              <w:pStyle w:val="ListParagraph"/>
              <w:autoSpaceDE w:val="0"/>
              <w:autoSpaceDN w:val="0"/>
              <w:adjustRightInd w:val="0"/>
              <w:ind w:left="0"/>
              <w:contextualSpacing/>
              <w:jc w:val="both"/>
              <w:rPr>
                <w:rFonts w:cs="Arial"/>
                <w:b/>
                <w:color w:val="000000"/>
                <w:sz w:val="24"/>
              </w:rPr>
            </w:pPr>
            <w:r w:rsidRPr="006F4594">
              <w:rPr>
                <w:rFonts w:cs="Arial"/>
                <w:b/>
                <w:color w:val="000000"/>
                <w:sz w:val="24"/>
              </w:rPr>
              <w:t>Reporting Arrangements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6.1</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decisions of the Committee will be formally recorded in an appropriate minute.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6.2</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rPr>
              <w:t xml:space="preserve">The Committee Chair shall report formally to the Clinical Commissioning Group Governing Body on its proceedings after each meeting on all matters within its duties and responsibilities. The report shall be presented to the confidential meeting of the Governing Body. The Committee </w:t>
            </w:r>
            <w:r w:rsidRPr="006F4594">
              <w:rPr>
                <w:rFonts w:ascii="Arial" w:hAnsi="Arial" w:cs="Arial"/>
                <w:color w:val="000000"/>
              </w:rPr>
              <w:t>shall make recommendations to the Governing Body on any area within its remit where action or improvement is needed.</w:t>
            </w:r>
          </w:p>
          <w:p w:rsidR="003C60E8" w:rsidRPr="006F4594" w:rsidRDefault="003C60E8" w:rsidP="00661416">
            <w:pPr>
              <w:autoSpaceDE w:val="0"/>
              <w:autoSpaceDN w:val="0"/>
              <w:adjustRightInd w:val="0"/>
              <w:jc w:val="both"/>
              <w:rPr>
                <w:rFonts w:ascii="Arial" w:hAnsi="Arial" w:cs="Arial"/>
                <w:color w:val="000000"/>
              </w:rPr>
            </w:pP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6.3</w:t>
            </w:r>
          </w:p>
        </w:tc>
        <w:tc>
          <w:tcPr>
            <w:tcW w:w="8022" w:type="dxa"/>
            <w:gridSpan w:val="2"/>
            <w:tcBorders>
              <w:top w:val="nil"/>
              <w:left w:val="nil"/>
              <w:bottom w:val="nil"/>
              <w:right w:val="nil"/>
            </w:tcBorders>
            <w:shd w:val="clear" w:color="auto" w:fill="auto"/>
          </w:tcPr>
          <w:p w:rsidR="006D0127" w:rsidRDefault="006D0127" w:rsidP="00661416">
            <w:pPr>
              <w:autoSpaceDE w:val="0"/>
              <w:autoSpaceDN w:val="0"/>
              <w:adjustRightInd w:val="0"/>
              <w:jc w:val="both"/>
              <w:rPr>
                <w:rFonts w:ascii="Arial" w:hAnsi="Arial" w:cs="Arial"/>
                <w:color w:val="000000"/>
              </w:rPr>
            </w:pPr>
            <w:r>
              <w:rPr>
                <w:rFonts w:ascii="Arial" w:hAnsi="Arial" w:cs="Arial"/>
                <w:color w:val="000000"/>
              </w:rPr>
              <w:t xml:space="preserve">High level anonymised </w:t>
            </w:r>
            <w:r w:rsidR="00082BF1">
              <w:rPr>
                <w:rFonts w:ascii="Arial" w:hAnsi="Arial" w:cs="Arial"/>
                <w:color w:val="000000"/>
              </w:rPr>
              <w:t>m</w:t>
            </w:r>
            <w:r w:rsidR="003C60E8" w:rsidRPr="006F4594">
              <w:rPr>
                <w:rFonts w:ascii="Arial" w:hAnsi="Arial" w:cs="Arial"/>
                <w:color w:val="000000"/>
              </w:rPr>
              <w:t>inutes/reports of meetings</w:t>
            </w:r>
            <w:r>
              <w:rPr>
                <w:rFonts w:ascii="Arial" w:hAnsi="Arial" w:cs="Arial"/>
                <w:color w:val="000000"/>
              </w:rPr>
              <w:t xml:space="preserve"> (to include; the papers discussed, process and rationale for decisions /outcome) will be presented to the Governing Body to support formal remuneration recommendations made to the Governing Body for ratification.</w:t>
            </w:r>
          </w:p>
          <w:p w:rsidR="006D0127" w:rsidRDefault="006D0127" w:rsidP="00661416">
            <w:pPr>
              <w:autoSpaceDE w:val="0"/>
              <w:autoSpaceDN w:val="0"/>
              <w:adjustRightInd w:val="0"/>
              <w:jc w:val="both"/>
              <w:rPr>
                <w:rFonts w:ascii="Arial" w:hAnsi="Arial" w:cs="Arial"/>
                <w:color w:val="000000"/>
              </w:rPr>
            </w:pPr>
          </w:p>
          <w:p w:rsidR="003C60E8" w:rsidRPr="006F4594" w:rsidRDefault="006D0127" w:rsidP="00661416">
            <w:pPr>
              <w:autoSpaceDE w:val="0"/>
              <w:autoSpaceDN w:val="0"/>
              <w:adjustRightInd w:val="0"/>
              <w:jc w:val="both"/>
              <w:rPr>
                <w:rFonts w:ascii="Arial" w:hAnsi="Arial" w:cs="Arial"/>
                <w:b/>
                <w:color w:val="000000"/>
              </w:rPr>
            </w:pPr>
            <w:r>
              <w:rPr>
                <w:rFonts w:ascii="Arial" w:hAnsi="Arial" w:cs="Arial"/>
                <w:color w:val="000000"/>
              </w:rPr>
              <w:t xml:space="preserve">The full notes of the meeting </w:t>
            </w:r>
            <w:r w:rsidR="003C60E8" w:rsidRPr="006F4594">
              <w:rPr>
                <w:rFonts w:ascii="Arial" w:hAnsi="Arial" w:cs="Arial"/>
                <w:color w:val="000000"/>
              </w:rPr>
              <w:t>will be confidential and only one master copy shall be held in a private Minute Book by the</w:t>
            </w:r>
            <w:r>
              <w:rPr>
                <w:rFonts w:ascii="Arial" w:hAnsi="Arial" w:cs="Arial"/>
                <w:color w:val="000000"/>
              </w:rPr>
              <w:t xml:space="preserve"> Governing Body Secretary</w:t>
            </w:r>
            <w:r w:rsidR="003C60E8" w:rsidRPr="006F4594">
              <w:rPr>
                <w:rFonts w:ascii="Arial" w:hAnsi="Arial" w:cs="Arial"/>
                <w:color w:val="000000"/>
              </w:rPr>
              <w:t>.</w:t>
            </w:r>
          </w:p>
          <w:p w:rsidR="003C60E8" w:rsidRDefault="003C60E8" w:rsidP="00661416">
            <w:pPr>
              <w:autoSpaceDE w:val="0"/>
              <w:autoSpaceDN w:val="0"/>
              <w:adjustRightInd w:val="0"/>
              <w:jc w:val="both"/>
              <w:rPr>
                <w:rFonts w:ascii="Arial" w:hAnsi="Arial" w:cs="Arial"/>
                <w:color w:val="000000"/>
              </w:rPr>
            </w:pPr>
          </w:p>
          <w:p w:rsidR="002969A8" w:rsidRPr="006F4594" w:rsidRDefault="002969A8" w:rsidP="00661416">
            <w:pPr>
              <w:autoSpaceDE w:val="0"/>
              <w:autoSpaceDN w:val="0"/>
              <w:adjustRightInd w:val="0"/>
              <w:jc w:val="both"/>
              <w:rPr>
                <w:rFonts w:ascii="Arial" w:hAnsi="Arial" w:cs="Arial"/>
                <w:color w:val="000000"/>
              </w:rPr>
            </w:pPr>
          </w:p>
        </w:tc>
      </w:tr>
      <w:tr w:rsidR="006A6E34"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6A6E34" w:rsidRPr="006F4594" w:rsidRDefault="006A6E34"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6A6E34" w:rsidRPr="006F4594" w:rsidRDefault="006A6E34" w:rsidP="00661416">
            <w:pPr>
              <w:jc w:val="both"/>
              <w:rPr>
                <w:rFonts w:ascii="Arial" w:eastAsia="MS Mincho" w:hAnsi="Arial" w:cs="Arial"/>
                <w:bCs/>
              </w:rPr>
            </w:pPr>
            <w:r>
              <w:rPr>
                <w:rFonts w:ascii="Arial" w:eastAsia="MS Mincho" w:hAnsi="Arial" w:cs="Arial"/>
                <w:bCs/>
              </w:rPr>
              <w:t>6.4</w:t>
            </w:r>
          </w:p>
        </w:tc>
        <w:tc>
          <w:tcPr>
            <w:tcW w:w="8022" w:type="dxa"/>
            <w:gridSpan w:val="2"/>
            <w:tcBorders>
              <w:top w:val="nil"/>
              <w:left w:val="nil"/>
              <w:bottom w:val="nil"/>
              <w:right w:val="nil"/>
            </w:tcBorders>
            <w:shd w:val="clear" w:color="auto" w:fill="auto"/>
          </w:tcPr>
          <w:p w:rsidR="006A6E34" w:rsidRDefault="006A6E34" w:rsidP="00661416">
            <w:pPr>
              <w:autoSpaceDE w:val="0"/>
              <w:autoSpaceDN w:val="0"/>
              <w:adjustRightInd w:val="0"/>
              <w:jc w:val="both"/>
              <w:rPr>
                <w:rFonts w:ascii="Arial" w:hAnsi="Arial" w:cs="Arial"/>
                <w:color w:val="000000"/>
              </w:rPr>
            </w:pPr>
            <w:r>
              <w:rPr>
                <w:rFonts w:ascii="Arial" w:hAnsi="Arial" w:cs="Arial"/>
                <w:color w:val="000000"/>
              </w:rPr>
              <w:t>A Committee Annual Report will be produced for submission to the Governing Body.</w:t>
            </w:r>
          </w:p>
          <w:p w:rsidR="006A6E34" w:rsidRDefault="006A6E34"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lastRenderedPageBreak/>
              <w:t>7.</w:t>
            </w:r>
          </w:p>
        </w:tc>
        <w:tc>
          <w:tcPr>
            <w:tcW w:w="8731" w:type="dxa"/>
            <w:gridSpan w:val="4"/>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Administration</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7.1</w:t>
            </w:r>
          </w:p>
        </w:tc>
        <w:tc>
          <w:tcPr>
            <w:tcW w:w="8022" w:type="dxa"/>
            <w:gridSpan w:val="2"/>
            <w:tcBorders>
              <w:top w:val="nil"/>
              <w:left w:val="nil"/>
              <w:bottom w:val="nil"/>
              <w:right w:val="nil"/>
            </w:tcBorders>
            <w:shd w:val="clear" w:color="auto" w:fill="auto"/>
          </w:tcPr>
          <w:p w:rsidR="003C60E8" w:rsidRDefault="003C60E8" w:rsidP="00661416">
            <w:pPr>
              <w:autoSpaceDE w:val="0"/>
              <w:autoSpaceDN w:val="0"/>
              <w:adjustRightInd w:val="0"/>
              <w:jc w:val="both"/>
              <w:rPr>
                <w:rFonts w:ascii="Arial" w:eastAsia="MS Mincho" w:hAnsi="Arial" w:cs="Arial"/>
                <w:lang w:eastAsia="ja-JP"/>
              </w:rPr>
            </w:pPr>
            <w:r w:rsidRPr="006F4594">
              <w:rPr>
                <w:rFonts w:ascii="Arial" w:hAnsi="Arial" w:cs="Arial"/>
                <w:color w:val="000000"/>
              </w:rPr>
              <w:t>Administration and taking minutes of the Remuneration Committee is the responsibility of the Human Resources Business Partner. The management of the Committee will be overseen by the</w:t>
            </w:r>
            <w:r w:rsidR="00B15FA3">
              <w:rPr>
                <w:rFonts w:ascii="Arial" w:hAnsi="Arial" w:cs="Arial"/>
                <w:color w:val="000000"/>
              </w:rPr>
              <w:t xml:space="preserve"> </w:t>
            </w:r>
            <w:r w:rsidR="00124D39">
              <w:rPr>
                <w:rFonts w:ascii="Arial" w:hAnsi="Arial" w:cs="Arial"/>
                <w:color w:val="000000"/>
              </w:rPr>
              <w:t>Head of Integration and Partnership</w:t>
            </w:r>
            <w:r w:rsidR="00124D39" w:rsidRPr="006F4594">
              <w:rPr>
                <w:rFonts w:ascii="Arial" w:eastAsia="MS Mincho" w:hAnsi="Arial" w:cs="Arial"/>
                <w:lang w:eastAsia="ja-JP"/>
              </w:rPr>
              <w:t xml:space="preserve"> </w:t>
            </w:r>
          </w:p>
          <w:p w:rsidR="00124D39" w:rsidRPr="006F4594" w:rsidRDefault="00124D39"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8.</w:t>
            </w:r>
          </w:p>
        </w:tc>
        <w:tc>
          <w:tcPr>
            <w:tcW w:w="8731" w:type="dxa"/>
            <w:gridSpan w:val="4"/>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Frequency</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8.1</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Remuneration Committee will meet as a minimum once in a calendar year and at other times as deemed necessary.</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9.</w:t>
            </w:r>
          </w:p>
        </w:tc>
        <w:tc>
          <w:tcPr>
            <w:tcW w:w="8731" w:type="dxa"/>
            <w:gridSpan w:val="4"/>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Code of Conduct</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9.1</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apply best practice in its decision making processes and will take into account national guidance, relevant codes of practice including the Nolan Principles and the Conflict of Interest policy.</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9.2</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operate at all times in accordance with the Governing Body’s Standing Orders and Standing Financial Instructions.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9.3</w:t>
            </w:r>
          </w:p>
        </w:tc>
        <w:tc>
          <w:tcPr>
            <w:tcW w:w="8022"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ensure that when considering individuals remuneration it:-</w:t>
            </w:r>
          </w:p>
          <w:p w:rsidR="003C60E8" w:rsidRPr="006F4594" w:rsidRDefault="003C60E8" w:rsidP="00661416">
            <w:pPr>
              <w:pStyle w:val="ListParagraph"/>
              <w:rPr>
                <w:rFonts w:cs="Arial"/>
                <w:color w:val="000000"/>
                <w:sz w:val="24"/>
              </w:rPr>
            </w:pPr>
          </w:p>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9.3.1 Complies with current disclosure requirements for numeration.</w:t>
            </w:r>
          </w:p>
          <w:p w:rsidR="003C60E8" w:rsidRPr="006F4594" w:rsidRDefault="003C60E8" w:rsidP="00661416">
            <w:pPr>
              <w:autoSpaceDE w:val="0"/>
              <w:autoSpaceDN w:val="0"/>
              <w:adjustRightInd w:val="0"/>
              <w:jc w:val="both"/>
              <w:rPr>
                <w:rFonts w:ascii="Arial" w:hAnsi="Arial" w:cs="Arial"/>
                <w:color w:val="000000"/>
              </w:rPr>
            </w:pPr>
          </w:p>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9.3.2 Will seek independent advice. </w:t>
            </w:r>
          </w:p>
          <w:p w:rsidR="003C60E8" w:rsidRPr="006F4594" w:rsidRDefault="003C60E8" w:rsidP="00661416">
            <w:pPr>
              <w:autoSpaceDE w:val="0"/>
              <w:autoSpaceDN w:val="0"/>
              <w:adjustRightInd w:val="0"/>
              <w:jc w:val="both"/>
              <w:rPr>
                <w:rFonts w:ascii="Arial" w:hAnsi="Arial" w:cs="Arial"/>
                <w:color w:val="000000"/>
              </w:rPr>
            </w:pPr>
          </w:p>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9.3.3 Ensure that decisions are based on clear and transparent criteria.</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10.</w:t>
            </w:r>
          </w:p>
        </w:tc>
        <w:tc>
          <w:tcPr>
            <w:tcW w:w="8731" w:type="dxa"/>
            <w:gridSpan w:val="4"/>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Review</w:t>
            </w:r>
          </w:p>
          <w:p w:rsidR="003C60E8" w:rsidRPr="006F4594" w:rsidRDefault="003C60E8" w:rsidP="00661416">
            <w:pPr>
              <w:autoSpaceDE w:val="0"/>
              <w:autoSpaceDN w:val="0"/>
              <w:adjustRightInd w:val="0"/>
              <w:jc w:val="both"/>
              <w:rPr>
                <w:rFonts w:ascii="Arial" w:hAnsi="Arial" w:cs="Arial"/>
                <w:b/>
                <w:color w:val="000000"/>
              </w:rPr>
            </w:pPr>
          </w:p>
        </w:tc>
      </w:tr>
      <w:tr w:rsidR="003C60E8" w:rsidRPr="00EB5507" w:rsidTr="00661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9" w:type="dxa"/>
            <w:gridSpan w:val="2"/>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10.1</w:t>
            </w:r>
          </w:p>
        </w:tc>
        <w:tc>
          <w:tcPr>
            <w:tcW w:w="8022" w:type="dxa"/>
            <w:gridSpan w:val="2"/>
            <w:tcBorders>
              <w:top w:val="nil"/>
              <w:left w:val="nil"/>
              <w:bottom w:val="nil"/>
              <w:right w:val="nil"/>
            </w:tcBorders>
            <w:shd w:val="clear" w:color="auto" w:fill="auto"/>
          </w:tcPr>
          <w:p w:rsidR="003C60E8" w:rsidRPr="006F4594" w:rsidRDefault="003C60E8" w:rsidP="006A6E34">
            <w:pPr>
              <w:autoSpaceDE w:val="0"/>
              <w:autoSpaceDN w:val="0"/>
              <w:adjustRightInd w:val="0"/>
              <w:jc w:val="both"/>
              <w:rPr>
                <w:rFonts w:ascii="Arial" w:hAnsi="Arial" w:cs="Arial"/>
                <w:color w:val="000000"/>
              </w:rPr>
            </w:pPr>
            <w:r w:rsidRPr="006F4594">
              <w:rPr>
                <w:rFonts w:ascii="Arial" w:hAnsi="Arial" w:cs="Arial"/>
                <w:color w:val="000000"/>
              </w:rPr>
              <w:t>The Committee should review at least annually its own performance, membership and Terms of Reference. Any resulting changes to the Terms of Reference or membership should be approved by the Governing Body</w:t>
            </w:r>
            <w:r>
              <w:rPr>
                <w:rFonts w:ascii="Arial" w:hAnsi="Arial" w:cs="Arial"/>
                <w:color w:val="000000"/>
              </w:rPr>
              <w:t>.</w:t>
            </w:r>
            <w:r w:rsidR="0050721A">
              <w:rPr>
                <w:rFonts w:ascii="Arial" w:hAnsi="Arial" w:cs="Arial"/>
                <w:color w:val="000000"/>
              </w:rPr>
              <w:t xml:space="preserve"> </w:t>
            </w:r>
            <w:r w:rsidR="00E24F07">
              <w:rPr>
                <w:rFonts w:ascii="Arial" w:hAnsi="Arial" w:cs="Arial"/>
                <w:color w:val="000000"/>
              </w:rPr>
              <w:t xml:space="preserve"> </w:t>
            </w:r>
          </w:p>
        </w:tc>
      </w:tr>
    </w:tbl>
    <w:p w:rsidR="003C60E8" w:rsidRDefault="003C60E8" w:rsidP="003C60E8">
      <w:pPr>
        <w:autoSpaceDE w:val="0"/>
        <w:autoSpaceDN w:val="0"/>
        <w:adjustRightInd w:val="0"/>
        <w:jc w:val="both"/>
        <w:rPr>
          <w:rFonts w:ascii="Arial" w:hAnsi="Arial" w:cs="Arial"/>
          <w:b/>
          <w:color w:val="000000"/>
        </w:rPr>
      </w:pPr>
    </w:p>
    <w:p w:rsidR="00B91968" w:rsidRDefault="00B91968" w:rsidP="003C60E8">
      <w:pPr>
        <w:autoSpaceDE w:val="0"/>
        <w:autoSpaceDN w:val="0"/>
        <w:adjustRightInd w:val="0"/>
        <w:jc w:val="both"/>
        <w:rPr>
          <w:rFonts w:ascii="Arial" w:hAnsi="Arial" w:cs="Arial"/>
          <w:b/>
          <w:color w:val="000000"/>
        </w:rPr>
      </w:pPr>
    </w:p>
    <w:p w:rsidR="0062344A" w:rsidRDefault="00BC69FD" w:rsidP="006D0127">
      <w:pPr>
        <w:autoSpaceDE w:val="0"/>
        <w:autoSpaceDN w:val="0"/>
        <w:adjustRightInd w:val="0"/>
        <w:jc w:val="both"/>
        <w:rPr>
          <w:rFonts w:ascii="Arial" w:hAnsi="Arial" w:cs="Arial"/>
          <w:color w:val="000000"/>
        </w:rPr>
      </w:pPr>
      <w:r w:rsidRPr="00ED73B7">
        <w:rPr>
          <w:rFonts w:ascii="Arial" w:hAnsi="Arial" w:cs="Arial"/>
          <w:b/>
          <w:color w:val="000000"/>
        </w:rPr>
        <w:t>Review Date:</w:t>
      </w:r>
      <w:r>
        <w:rPr>
          <w:rFonts w:ascii="Arial" w:hAnsi="Arial" w:cs="Arial"/>
          <w:color w:val="000000"/>
        </w:rPr>
        <w:tab/>
      </w:r>
      <w:r w:rsidR="0062344A">
        <w:rPr>
          <w:rFonts w:ascii="Arial" w:hAnsi="Arial" w:cs="Arial"/>
          <w:color w:val="000000"/>
        </w:rPr>
        <w:t>June 2017</w:t>
      </w:r>
    </w:p>
    <w:p w:rsidR="0062344A" w:rsidRDefault="0062344A" w:rsidP="006D0127">
      <w:pPr>
        <w:autoSpaceDE w:val="0"/>
        <w:autoSpaceDN w:val="0"/>
        <w:adjustRightInd w:val="0"/>
        <w:jc w:val="both"/>
        <w:rPr>
          <w:rFonts w:ascii="Arial" w:hAnsi="Arial" w:cs="Arial"/>
          <w:color w:val="000000"/>
        </w:rPr>
      </w:pPr>
    </w:p>
    <w:p w:rsidR="00BC69FD" w:rsidRPr="00EB5507" w:rsidRDefault="0062344A" w:rsidP="006D0127">
      <w:pPr>
        <w:autoSpaceDE w:val="0"/>
        <w:autoSpaceDN w:val="0"/>
        <w:adjustRightInd w:val="0"/>
        <w:jc w:val="both"/>
        <w:rPr>
          <w:rFonts w:ascii="Arial" w:hAnsi="Arial" w:cs="Arial"/>
          <w:b/>
          <w:color w:val="000000"/>
        </w:rPr>
      </w:pPr>
      <w:r>
        <w:rPr>
          <w:rFonts w:ascii="Arial" w:hAnsi="Arial" w:cs="Arial"/>
          <w:color w:val="000000"/>
        </w:rPr>
        <w:t>GB Approved October 2016</w:t>
      </w:r>
      <w:bookmarkStart w:id="0" w:name="_GoBack"/>
      <w:bookmarkEnd w:id="0"/>
      <w:r w:rsidR="00BC69FD" w:rsidRPr="00ED73B7">
        <w:rPr>
          <w:rFonts w:ascii="Arial" w:hAnsi="Arial" w:cs="Arial"/>
          <w:color w:val="000000"/>
        </w:rPr>
        <w:t xml:space="preserve"> </w:t>
      </w:r>
    </w:p>
    <w:sectPr w:rsidR="00BC69FD" w:rsidRPr="00EB5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BA5"/>
    <w:multiLevelType w:val="multilevel"/>
    <w:tmpl w:val="58D2CDB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48424386"/>
    <w:multiLevelType w:val="hybridMultilevel"/>
    <w:tmpl w:val="AE1C1D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52FD08B6"/>
    <w:multiLevelType w:val="hybridMultilevel"/>
    <w:tmpl w:val="F1F6EE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734A3C46"/>
    <w:multiLevelType w:val="hybridMultilevel"/>
    <w:tmpl w:val="F8241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E4743B3"/>
    <w:multiLevelType w:val="hybridMultilevel"/>
    <w:tmpl w:val="19FC47A4"/>
    <w:lvl w:ilvl="0" w:tplc="9D1A7A16">
      <w:start w:val="17"/>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E8"/>
    <w:rsid w:val="00005A03"/>
    <w:rsid w:val="00063BBF"/>
    <w:rsid w:val="00082BF1"/>
    <w:rsid w:val="000C71E0"/>
    <w:rsid w:val="00124D39"/>
    <w:rsid w:val="00183FA7"/>
    <w:rsid w:val="00187C6D"/>
    <w:rsid w:val="002601DF"/>
    <w:rsid w:val="002969A8"/>
    <w:rsid w:val="003B46CE"/>
    <w:rsid w:val="003C60E8"/>
    <w:rsid w:val="004513B5"/>
    <w:rsid w:val="00462E15"/>
    <w:rsid w:val="00481404"/>
    <w:rsid w:val="00496675"/>
    <w:rsid w:val="004F6836"/>
    <w:rsid w:val="0050721A"/>
    <w:rsid w:val="005638BE"/>
    <w:rsid w:val="00610C44"/>
    <w:rsid w:val="0062344A"/>
    <w:rsid w:val="006A6E34"/>
    <w:rsid w:val="006D0127"/>
    <w:rsid w:val="009C4EF8"/>
    <w:rsid w:val="00AB08BE"/>
    <w:rsid w:val="00B15FA3"/>
    <w:rsid w:val="00B835A4"/>
    <w:rsid w:val="00B91968"/>
    <w:rsid w:val="00BA0A26"/>
    <w:rsid w:val="00BA26B1"/>
    <w:rsid w:val="00BC69FD"/>
    <w:rsid w:val="00C5425D"/>
    <w:rsid w:val="00CF2D85"/>
    <w:rsid w:val="00E20CE6"/>
    <w:rsid w:val="00E24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E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0E8"/>
    <w:pPr>
      <w:ind w:left="720"/>
    </w:pPr>
    <w:rPr>
      <w:rFonts w:ascii="Arial" w:hAnsi="Arial"/>
      <w:sz w:val="22"/>
      <w:lang w:eastAsia="en-US"/>
    </w:rPr>
  </w:style>
  <w:style w:type="paragraph" w:styleId="BalloonText">
    <w:name w:val="Balloon Text"/>
    <w:basedOn w:val="Normal"/>
    <w:link w:val="BalloonTextChar"/>
    <w:uiPriority w:val="99"/>
    <w:semiHidden/>
    <w:unhideWhenUsed/>
    <w:rsid w:val="006D0127"/>
    <w:rPr>
      <w:rFonts w:ascii="Tahoma" w:hAnsi="Tahoma" w:cs="Tahoma"/>
      <w:sz w:val="16"/>
      <w:szCs w:val="16"/>
    </w:rPr>
  </w:style>
  <w:style w:type="character" w:customStyle="1" w:styleId="BalloonTextChar">
    <w:name w:val="Balloon Text Char"/>
    <w:basedOn w:val="DefaultParagraphFont"/>
    <w:link w:val="BalloonText"/>
    <w:uiPriority w:val="99"/>
    <w:semiHidden/>
    <w:rsid w:val="006D0127"/>
    <w:rPr>
      <w:rFonts w:ascii="Tahoma" w:eastAsia="Times New Roman" w:hAnsi="Tahoma" w:cs="Tahoma"/>
      <w:sz w:val="16"/>
      <w:szCs w:val="16"/>
      <w:lang w:eastAsia="en-GB"/>
    </w:rPr>
  </w:style>
  <w:style w:type="paragraph" w:styleId="Header">
    <w:name w:val="header"/>
    <w:basedOn w:val="Normal"/>
    <w:link w:val="HeaderChar"/>
    <w:semiHidden/>
    <w:unhideWhenUsed/>
    <w:rsid w:val="00481404"/>
    <w:pPr>
      <w:tabs>
        <w:tab w:val="center" w:pos="4153"/>
        <w:tab w:val="right" w:pos="8306"/>
      </w:tabs>
    </w:pPr>
  </w:style>
  <w:style w:type="character" w:customStyle="1" w:styleId="HeaderChar">
    <w:name w:val="Header Char"/>
    <w:basedOn w:val="DefaultParagraphFont"/>
    <w:link w:val="Header"/>
    <w:semiHidden/>
    <w:rsid w:val="00481404"/>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E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0E8"/>
    <w:pPr>
      <w:ind w:left="720"/>
    </w:pPr>
    <w:rPr>
      <w:rFonts w:ascii="Arial" w:hAnsi="Arial"/>
      <w:sz w:val="22"/>
      <w:lang w:eastAsia="en-US"/>
    </w:rPr>
  </w:style>
  <w:style w:type="paragraph" w:styleId="BalloonText">
    <w:name w:val="Balloon Text"/>
    <w:basedOn w:val="Normal"/>
    <w:link w:val="BalloonTextChar"/>
    <w:uiPriority w:val="99"/>
    <w:semiHidden/>
    <w:unhideWhenUsed/>
    <w:rsid w:val="006D0127"/>
    <w:rPr>
      <w:rFonts w:ascii="Tahoma" w:hAnsi="Tahoma" w:cs="Tahoma"/>
      <w:sz w:val="16"/>
      <w:szCs w:val="16"/>
    </w:rPr>
  </w:style>
  <w:style w:type="character" w:customStyle="1" w:styleId="BalloonTextChar">
    <w:name w:val="Balloon Text Char"/>
    <w:basedOn w:val="DefaultParagraphFont"/>
    <w:link w:val="BalloonText"/>
    <w:uiPriority w:val="99"/>
    <w:semiHidden/>
    <w:rsid w:val="006D0127"/>
    <w:rPr>
      <w:rFonts w:ascii="Tahoma" w:eastAsia="Times New Roman" w:hAnsi="Tahoma" w:cs="Tahoma"/>
      <w:sz w:val="16"/>
      <w:szCs w:val="16"/>
      <w:lang w:eastAsia="en-GB"/>
    </w:rPr>
  </w:style>
  <w:style w:type="paragraph" w:styleId="Header">
    <w:name w:val="header"/>
    <w:basedOn w:val="Normal"/>
    <w:link w:val="HeaderChar"/>
    <w:semiHidden/>
    <w:unhideWhenUsed/>
    <w:rsid w:val="00481404"/>
    <w:pPr>
      <w:tabs>
        <w:tab w:val="center" w:pos="4153"/>
        <w:tab w:val="right" w:pos="8306"/>
      </w:tabs>
    </w:pPr>
  </w:style>
  <w:style w:type="character" w:customStyle="1" w:styleId="HeaderChar">
    <w:name w:val="Header Char"/>
    <w:basedOn w:val="DefaultParagraphFont"/>
    <w:link w:val="Header"/>
    <w:semiHidden/>
    <w:rsid w:val="0048140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73878">
      <w:bodyDiv w:val="1"/>
      <w:marLeft w:val="0"/>
      <w:marRight w:val="0"/>
      <w:marTop w:val="0"/>
      <w:marBottom w:val="0"/>
      <w:divBdr>
        <w:top w:val="none" w:sz="0" w:space="0" w:color="auto"/>
        <w:left w:val="none" w:sz="0" w:space="0" w:color="auto"/>
        <w:bottom w:val="none" w:sz="0" w:space="0" w:color="auto"/>
        <w:right w:val="none" w:sz="0" w:space="0" w:color="auto"/>
      </w:divBdr>
    </w:div>
    <w:div w:id="1059787958">
      <w:bodyDiv w:val="1"/>
      <w:marLeft w:val="0"/>
      <w:marRight w:val="0"/>
      <w:marTop w:val="0"/>
      <w:marBottom w:val="0"/>
      <w:divBdr>
        <w:top w:val="none" w:sz="0" w:space="0" w:color="auto"/>
        <w:left w:val="none" w:sz="0" w:space="0" w:color="auto"/>
        <w:bottom w:val="none" w:sz="0" w:space="0" w:color="auto"/>
        <w:right w:val="none" w:sz="0" w:space="0" w:color="auto"/>
      </w:divBdr>
    </w:div>
    <w:div w:id="20084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99E1-7763-4E7B-B5F9-D8939D34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Angela</dc:creator>
  <cp:lastModifiedBy>Kay Morgan</cp:lastModifiedBy>
  <cp:revision>3</cp:revision>
  <cp:lastPrinted>2015-05-15T13:14:00Z</cp:lastPrinted>
  <dcterms:created xsi:type="dcterms:W3CDTF">2016-12-06T13:24:00Z</dcterms:created>
  <dcterms:modified xsi:type="dcterms:W3CDTF">2016-12-06T13:25:00Z</dcterms:modified>
</cp:coreProperties>
</file>