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20A7B" w14:textId="77777777" w:rsidR="00A02E7C" w:rsidRPr="00E16D2E" w:rsidRDefault="00A02E7C">
      <w:pPr>
        <w:rPr>
          <w:rFonts w:cs="Arial"/>
        </w:rPr>
      </w:pPr>
      <w:bookmarkStart w:id="0" w:name="_GoBack"/>
      <w:bookmarkEnd w:id="0"/>
    </w:p>
    <w:tbl>
      <w:tblPr>
        <w:tblW w:w="9640" w:type="dxa"/>
        <w:tblInd w:w="-431" w:type="dxa"/>
        <w:tblLayout w:type="fixed"/>
        <w:tblCellMar>
          <w:left w:w="10" w:type="dxa"/>
          <w:right w:w="10" w:type="dxa"/>
        </w:tblCellMar>
        <w:tblLook w:val="0000" w:firstRow="0" w:lastRow="0" w:firstColumn="0" w:lastColumn="0" w:noHBand="0" w:noVBand="0"/>
      </w:tblPr>
      <w:tblGrid>
        <w:gridCol w:w="1844"/>
        <w:gridCol w:w="7796"/>
      </w:tblGrid>
      <w:tr w:rsidR="001F2002" w:rsidRPr="00E16D2E" w14:paraId="20BD938D" w14:textId="77777777" w:rsidTr="00364A57">
        <w:tc>
          <w:tcPr>
            <w:tcW w:w="18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08FE14" w14:textId="77777777" w:rsidR="001F2002" w:rsidRPr="00364A57" w:rsidRDefault="001F2002" w:rsidP="00A03E4A">
            <w:pPr>
              <w:suppressAutoHyphens/>
              <w:autoSpaceDN w:val="0"/>
              <w:spacing w:line="276" w:lineRule="auto"/>
              <w:textAlignment w:val="baseline"/>
              <w:rPr>
                <w:rFonts w:eastAsia="Calibri" w:cs="Arial"/>
                <w:b/>
                <w:sz w:val="22"/>
                <w:szCs w:val="22"/>
              </w:rPr>
            </w:pPr>
            <w:bookmarkStart w:id="1" w:name="_Hlk482106142"/>
            <w:r w:rsidRPr="00364A57">
              <w:rPr>
                <w:rFonts w:eastAsia="Calibri" w:cs="Arial"/>
                <w:b/>
                <w:sz w:val="22"/>
                <w:szCs w:val="22"/>
              </w:rPr>
              <w:t>POLICY STATEMENT</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082699" w14:textId="77777777" w:rsidR="001F2002" w:rsidRPr="00364A57" w:rsidRDefault="001F2002" w:rsidP="00A03E4A">
            <w:pPr>
              <w:suppressAutoHyphens/>
              <w:autoSpaceDN w:val="0"/>
              <w:spacing w:line="276" w:lineRule="auto"/>
              <w:textAlignment w:val="baseline"/>
              <w:rPr>
                <w:rFonts w:eastAsia="Calibri" w:cs="Arial"/>
                <w:b/>
                <w:sz w:val="22"/>
                <w:szCs w:val="22"/>
              </w:rPr>
            </w:pPr>
            <w:r w:rsidRPr="00364A57">
              <w:rPr>
                <w:rFonts w:eastAsia="Calibri" w:cs="Arial"/>
                <w:b/>
                <w:sz w:val="22"/>
                <w:szCs w:val="22"/>
              </w:rPr>
              <w:t>COMMISSIONING POLICY</w:t>
            </w:r>
          </w:p>
        </w:tc>
      </w:tr>
      <w:tr w:rsidR="001F2002" w:rsidRPr="00E16D2E" w14:paraId="13D95BAD" w14:textId="77777777" w:rsidTr="00364A57">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24524" w14:textId="77777777" w:rsidR="001F2002" w:rsidRPr="00364A57" w:rsidRDefault="001F2002" w:rsidP="00A03E4A">
            <w:pPr>
              <w:suppressAutoHyphens/>
              <w:autoSpaceDN w:val="0"/>
              <w:spacing w:line="276" w:lineRule="auto"/>
              <w:textAlignment w:val="baseline"/>
              <w:rPr>
                <w:rFonts w:eastAsia="Calibri" w:cs="Arial"/>
                <w:b/>
                <w:sz w:val="22"/>
                <w:szCs w:val="22"/>
              </w:rPr>
            </w:pPr>
            <w:r w:rsidRPr="00364A57">
              <w:rPr>
                <w:rFonts w:eastAsia="Calibri" w:cs="Arial"/>
                <w:b/>
                <w:sz w:val="22"/>
                <w:szCs w:val="22"/>
              </w:rPr>
              <w:t>STATUS</w:t>
            </w: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8514" w14:textId="77777777" w:rsidR="00364A57" w:rsidRPr="00364A57" w:rsidRDefault="00364A57" w:rsidP="00A03E4A">
            <w:pPr>
              <w:suppressAutoHyphens/>
              <w:autoSpaceDN w:val="0"/>
              <w:spacing w:line="276" w:lineRule="auto"/>
              <w:textAlignment w:val="baseline"/>
              <w:rPr>
                <w:rFonts w:eastAsia="Calibri" w:cs="Arial"/>
                <w:b/>
                <w:sz w:val="16"/>
                <w:szCs w:val="16"/>
              </w:rPr>
            </w:pPr>
          </w:p>
          <w:p w14:paraId="54B34367" w14:textId="511B10EA" w:rsidR="001F2002" w:rsidRPr="00364A57" w:rsidRDefault="001F2002" w:rsidP="00A03E4A">
            <w:pPr>
              <w:suppressAutoHyphens/>
              <w:autoSpaceDN w:val="0"/>
              <w:spacing w:line="276" w:lineRule="auto"/>
              <w:textAlignment w:val="baseline"/>
              <w:rPr>
                <w:rFonts w:eastAsia="Calibri" w:cs="Arial"/>
                <w:b/>
                <w:sz w:val="22"/>
                <w:szCs w:val="22"/>
              </w:rPr>
            </w:pPr>
            <w:r w:rsidRPr="00364A57">
              <w:rPr>
                <w:rFonts w:eastAsia="Calibri" w:cs="Arial"/>
                <w:b/>
                <w:sz w:val="22"/>
                <w:szCs w:val="22"/>
              </w:rPr>
              <w:t xml:space="preserve">CRITERIA LED </w:t>
            </w:r>
          </w:p>
          <w:p w14:paraId="7C2DB1A3" w14:textId="172A34DA" w:rsidR="00934DC5" w:rsidRPr="00364A57" w:rsidRDefault="00934DC5" w:rsidP="00822886">
            <w:pPr>
              <w:pStyle w:val="ListParagraph"/>
              <w:numPr>
                <w:ilvl w:val="0"/>
                <w:numId w:val="16"/>
              </w:numPr>
              <w:rPr>
                <w:rFonts w:cs="Arial"/>
                <w:sz w:val="22"/>
                <w:szCs w:val="22"/>
              </w:rPr>
            </w:pPr>
            <w:r w:rsidRPr="00364A57">
              <w:rPr>
                <w:rFonts w:cs="Arial"/>
                <w:sz w:val="22"/>
                <w:szCs w:val="22"/>
              </w:rPr>
              <w:t xml:space="preserve">An eligibility criteria applies </w:t>
            </w:r>
            <w:r w:rsidR="00822886" w:rsidRPr="00364A57">
              <w:rPr>
                <w:rFonts w:cs="Arial"/>
                <w:sz w:val="22"/>
                <w:szCs w:val="22"/>
              </w:rPr>
              <w:t>to all people referred for elective surgery</w:t>
            </w:r>
          </w:p>
          <w:p w14:paraId="04710CA7" w14:textId="77777777" w:rsidR="00822886" w:rsidRPr="00364A57" w:rsidRDefault="00822886" w:rsidP="00822886">
            <w:pPr>
              <w:ind w:left="360"/>
              <w:rPr>
                <w:rFonts w:cs="Arial"/>
                <w:sz w:val="16"/>
                <w:szCs w:val="16"/>
              </w:rPr>
            </w:pPr>
          </w:p>
          <w:p w14:paraId="3A22ADE3" w14:textId="4A15AE92" w:rsidR="00B15AF6" w:rsidRPr="00364A57" w:rsidRDefault="00934DC5" w:rsidP="00822886">
            <w:pPr>
              <w:pStyle w:val="ListParagraph"/>
              <w:numPr>
                <w:ilvl w:val="0"/>
                <w:numId w:val="16"/>
              </w:numPr>
              <w:rPr>
                <w:rFonts w:cs="Arial"/>
                <w:sz w:val="22"/>
                <w:szCs w:val="22"/>
              </w:rPr>
            </w:pPr>
            <w:r w:rsidRPr="00364A57">
              <w:rPr>
                <w:rFonts w:cs="Arial"/>
                <w:sz w:val="22"/>
                <w:szCs w:val="22"/>
              </w:rPr>
              <w:t>Funding for patients who do not meet the eligibility criteria will be considered on an individual basis if the clinical opinion is that there is an exception that warrants deviation from the policy</w:t>
            </w:r>
          </w:p>
          <w:p w14:paraId="2996689C" w14:textId="77777777" w:rsidR="00822886" w:rsidRPr="00364A57" w:rsidRDefault="00822886" w:rsidP="00822886">
            <w:pPr>
              <w:pStyle w:val="ListParagraph"/>
              <w:rPr>
                <w:rFonts w:cs="Arial"/>
                <w:sz w:val="16"/>
                <w:szCs w:val="16"/>
              </w:rPr>
            </w:pPr>
          </w:p>
          <w:p w14:paraId="12F67529" w14:textId="738592F1" w:rsidR="00822886" w:rsidRPr="00364A57" w:rsidRDefault="00934DC5" w:rsidP="00822886">
            <w:pPr>
              <w:pStyle w:val="ListParagraph"/>
              <w:numPr>
                <w:ilvl w:val="0"/>
                <w:numId w:val="16"/>
              </w:numPr>
              <w:rPr>
                <w:rFonts w:cs="Arial"/>
                <w:sz w:val="22"/>
                <w:szCs w:val="22"/>
              </w:rPr>
            </w:pPr>
            <w:r w:rsidRPr="00364A57">
              <w:rPr>
                <w:rFonts w:cs="Arial"/>
                <w:sz w:val="22"/>
                <w:szCs w:val="22"/>
              </w:rPr>
              <w:t xml:space="preserve">Individual cases will be reviewed via the CCGs </w:t>
            </w:r>
            <w:r w:rsidR="00822886" w:rsidRPr="00364A57">
              <w:rPr>
                <w:rFonts w:cs="Arial"/>
                <w:sz w:val="22"/>
                <w:szCs w:val="22"/>
              </w:rPr>
              <w:t>Individual Funding Review (IFR) process</w:t>
            </w:r>
          </w:p>
          <w:p w14:paraId="5006117A" w14:textId="10D9EA19" w:rsidR="00822886" w:rsidRPr="00364A57" w:rsidRDefault="00822886" w:rsidP="00822886">
            <w:pPr>
              <w:rPr>
                <w:rFonts w:cs="Arial"/>
                <w:sz w:val="22"/>
                <w:szCs w:val="22"/>
              </w:rPr>
            </w:pPr>
          </w:p>
        </w:tc>
      </w:tr>
      <w:tr w:rsidR="001F2002" w:rsidRPr="00E16D2E" w14:paraId="01B9A70A"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C1D5" w14:textId="13F96297" w:rsidR="001F2002" w:rsidRPr="00364A57" w:rsidRDefault="001F2002" w:rsidP="00A03E4A">
            <w:pPr>
              <w:suppressAutoHyphens/>
              <w:autoSpaceDN w:val="0"/>
              <w:spacing w:line="276" w:lineRule="auto"/>
              <w:textAlignment w:val="baseline"/>
              <w:rPr>
                <w:rFonts w:eastAsia="Calibri" w:cs="Arial"/>
                <w:b/>
                <w:sz w:val="22"/>
                <w:szCs w:val="22"/>
              </w:rPr>
            </w:pPr>
            <w:r w:rsidRPr="00364A57">
              <w:rPr>
                <w:rFonts w:eastAsia="Calibri" w:cs="Arial"/>
                <w:b/>
                <w:sz w:val="22"/>
                <w:szCs w:val="22"/>
              </w:rPr>
              <w:t>PROCEDURE/ TREATMENT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D4E2" w14:textId="7031C114" w:rsidR="001F2002" w:rsidRPr="00364A57" w:rsidRDefault="00364A57" w:rsidP="00364A57">
            <w:pPr>
              <w:suppressAutoHyphens/>
              <w:autoSpaceDN w:val="0"/>
              <w:spacing w:line="276" w:lineRule="auto"/>
              <w:textAlignment w:val="baseline"/>
              <w:rPr>
                <w:rFonts w:eastAsia="Calibri" w:cs="Arial"/>
                <w:b/>
                <w:caps/>
                <w:sz w:val="22"/>
                <w:szCs w:val="22"/>
              </w:rPr>
            </w:pPr>
            <w:r>
              <w:rPr>
                <w:rFonts w:eastAsia="Calibri" w:cs="Arial"/>
                <w:b/>
                <w:caps/>
                <w:sz w:val="22"/>
                <w:szCs w:val="22"/>
              </w:rPr>
              <w:t>G</w:t>
            </w:r>
            <w:r w:rsidR="00822886" w:rsidRPr="00364A57">
              <w:rPr>
                <w:rFonts w:eastAsia="Calibri" w:cs="Arial"/>
                <w:b/>
                <w:caps/>
                <w:sz w:val="22"/>
                <w:szCs w:val="22"/>
              </w:rPr>
              <w:t xml:space="preserve">et fit first in barnsley – weight management </w:t>
            </w:r>
            <w:r w:rsidR="00EE7356">
              <w:rPr>
                <w:rFonts w:eastAsia="Calibri" w:cs="Arial"/>
                <w:b/>
                <w:caps/>
                <w:sz w:val="22"/>
                <w:szCs w:val="22"/>
              </w:rPr>
              <w:t>v2.0</w:t>
            </w:r>
          </w:p>
        </w:tc>
      </w:tr>
      <w:tr w:rsidR="001F2002" w:rsidRPr="00E16D2E" w14:paraId="28F6E614"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75CD" w14:textId="77777777" w:rsidR="001F2002" w:rsidRPr="00364A57" w:rsidRDefault="001F2002" w:rsidP="00A03E4A">
            <w:pPr>
              <w:suppressAutoHyphens/>
              <w:autoSpaceDN w:val="0"/>
              <w:spacing w:line="276" w:lineRule="auto"/>
              <w:textAlignment w:val="baseline"/>
              <w:rPr>
                <w:rFonts w:eastAsia="Calibri" w:cs="Arial"/>
                <w:b/>
                <w:sz w:val="22"/>
                <w:szCs w:val="22"/>
              </w:rPr>
            </w:pPr>
            <w:r w:rsidRPr="00364A57">
              <w:rPr>
                <w:rFonts w:eastAsia="Calibri" w:cs="Arial"/>
                <w:b/>
                <w:sz w:val="22"/>
                <w:szCs w:val="22"/>
              </w:rPr>
              <w:t>EXCLUSIONS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A0F6" w14:textId="77777777" w:rsidR="00822886" w:rsidRPr="00364A57" w:rsidRDefault="00B954C5" w:rsidP="00822886">
            <w:pPr>
              <w:rPr>
                <w:rFonts w:cs="Arial"/>
                <w:sz w:val="16"/>
                <w:szCs w:val="16"/>
              </w:rPr>
            </w:pPr>
            <w:r w:rsidRPr="00364A57">
              <w:rPr>
                <w:rFonts w:cs="Arial"/>
                <w:sz w:val="22"/>
                <w:szCs w:val="22"/>
              </w:rPr>
              <w:t xml:space="preserve"> </w:t>
            </w:r>
          </w:p>
          <w:p w14:paraId="411F4620" w14:textId="5C8EA6F3" w:rsidR="00822886" w:rsidRPr="00364A57" w:rsidRDefault="00822886" w:rsidP="00822886">
            <w:pPr>
              <w:rPr>
                <w:rFonts w:cs="Arial"/>
                <w:b/>
                <w:sz w:val="22"/>
                <w:szCs w:val="22"/>
                <w:lang w:val="en-US"/>
              </w:rPr>
            </w:pPr>
            <w:r w:rsidRPr="00364A57">
              <w:rPr>
                <w:rFonts w:cs="Arial"/>
                <w:b/>
                <w:sz w:val="22"/>
                <w:szCs w:val="22"/>
                <w:lang w:val="en-US"/>
              </w:rPr>
              <w:t>EXCLUSIONS TO THIS POLICY – full list Appendix 1</w:t>
            </w:r>
          </w:p>
          <w:p w14:paraId="67D20E38" w14:textId="77777777" w:rsidR="00822886" w:rsidRPr="00DC4794" w:rsidRDefault="00822886" w:rsidP="00822886">
            <w:pPr>
              <w:rPr>
                <w:rFonts w:cs="Arial"/>
                <w:b/>
                <w:sz w:val="16"/>
                <w:szCs w:val="16"/>
                <w:lang w:val="en-US"/>
              </w:rPr>
            </w:pPr>
          </w:p>
          <w:p w14:paraId="007856F6" w14:textId="77777777" w:rsidR="00822886" w:rsidRPr="00364A57" w:rsidRDefault="00822886" w:rsidP="00822886">
            <w:pPr>
              <w:spacing w:line="276" w:lineRule="auto"/>
              <w:rPr>
                <w:rFonts w:cs="Arial"/>
                <w:sz w:val="22"/>
                <w:szCs w:val="22"/>
                <w:lang w:val="en-US"/>
              </w:rPr>
            </w:pPr>
            <w:r w:rsidRPr="00364A57">
              <w:rPr>
                <w:rFonts w:cs="Arial"/>
                <w:sz w:val="22"/>
                <w:szCs w:val="22"/>
                <w:lang w:val="en-US"/>
              </w:rPr>
              <w:t xml:space="preserve">The following group/patients with the following conditions will not be subject to this policy: </w:t>
            </w:r>
          </w:p>
          <w:p w14:paraId="23ACBBF7" w14:textId="77777777" w:rsidR="00822886" w:rsidRPr="00364A57" w:rsidRDefault="00822886" w:rsidP="00822886">
            <w:pPr>
              <w:pStyle w:val="ListParagraph"/>
              <w:numPr>
                <w:ilvl w:val="0"/>
                <w:numId w:val="23"/>
              </w:numPr>
              <w:spacing w:line="276" w:lineRule="auto"/>
              <w:rPr>
                <w:rFonts w:cs="Arial"/>
                <w:sz w:val="22"/>
                <w:szCs w:val="22"/>
                <w:lang w:val="en-US"/>
              </w:rPr>
            </w:pPr>
            <w:r w:rsidRPr="00364A57">
              <w:rPr>
                <w:rFonts w:cs="Arial"/>
                <w:sz w:val="22"/>
                <w:szCs w:val="22"/>
                <w:lang w:val="en-US"/>
              </w:rPr>
              <w:t xml:space="preserve">Patients undergoing surgery for cancer </w:t>
            </w:r>
          </w:p>
          <w:p w14:paraId="34B3A6BC" w14:textId="77777777" w:rsidR="00822886" w:rsidRPr="00364A57" w:rsidRDefault="00822886" w:rsidP="00822886">
            <w:pPr>
              <w:pStyle w:val="ListParagraph"/>
              <w:numPr>
                <w:ilvl w:val="0"/>
                <w:numId w:val="23"/>
              </w:numPr>
              <w:spacing w:line="276" w:lineRule="auto"/>
              <w:rPr>
                <w:rFonts w:cs="Arial"/>
                <w:sz w:val="22"/>
                <w:szCs w:val="22"/>
                <w:lang w:val="en-US"/>
              </w:rPr>
            </w:pPr>
            <w:r w:rsidRPr="00364A57">
              <w:rPr>
                <w:rFonts w:cs="Arial"/>
                <w:sz w:val="22"/>
                <w:szCs w:val="22"/>
                <w:lang w:val="en-US"/>
              </w:rPr>
              <w:t xml:space="preserve">2WW Referral for suspicion of cancer </w:t>
            </w:r>
          </w:p>
          <w:p w14:paraId="0F9C8F1B" w14:textId="77777777" w:rsidR="00761474" w:rsidRPr="00761474" w:rsidRDefault="00761474" w:rsidP="00761474">
            <w:pPr>
              <w:pStyle w:val="ListParagraph"/>
              <w:numPr>
                <w:ilvl w:val="0"/>
                <w:numId w:val="23"/>
              </w:numPr>
              <w:rPr>
                <w:rFonts w:cs="Arial"/>
                <w:sz w:val="22"/>
                <w:szCs w:val="22"/>
                <w:lang w:val="en-US"/>
              </w:rPr>
            </w:pPr>
            <w:r w:rsidRPr="00761474">
              <w:rPr>
                <w:rFonts w:cs="Arial"/>
                <w:sz w:val="22"/>
                <w:szCs w:val="22"/>
                <w:lang w:val="en-US"/>
              </w:rPr>
              <w:t xml:space="preserve">Patients with a BMI &gt;30 and who have waist measurement less than 94cm (37 inches) in males or 80cm (31.5 inches) in females </w:t>
            </w:r>
          </w:p>
          <w:p w14:paraId="6786924F" w14:textId="77777777" w:rsidR="00822886" w:rsidRPr="00364A57" w:rsidRDefault="00822886" w:rsidP="00822886">
            <w:pPr>
              <w:pStyle w:val="ListParagraph"/>
              <w:numPr>
                <w:ilvl w:val="0"/>
                <w:numId w:val="23"/>
              </w:numPr>
              <w:spacing w:line="276" w:lineRule="auto"/>
              <w:rPr>
                <w:rFonts w:cs="Arial"/>
                <w:sz w:val="22"/>
                <w:szCs w:val="22"/>
                <w:lang w:val="en-US"/>
              </w:rPr>
            </w:pPr>
            <w:r w:rsidRPr="00364A57">
              <w:rPr>
                <w:rFonts w:cs="Arial"/>
                <w:sz w:val="22"/>
                <w:szCs w:val="22"/>
                <w:lang w:val="en-US"/>
              </w:rPr>
              <w:t xml:space="preserve">Patients with severe mental health illness, Learning Disability or significant cognitive impairment </w:t>
            </w:r>
          </w:p>
          <w:p w14:paraId="3FC9083D" w14:textId="77777777" w:rsidR="00EE7356" w:rsidRDefault="00822886" w:rsidP="00822886">
            <w:pPr>
              <w:pStyle w:val="ListParagraph"/>
              <w:numPr>
                <w:ilvl w:val="0"/>
                <w:numId w:val="23"/>
              </w:numPr>
              <w:spacing w:line="276" w:lineRule="auto"/>
              <w:rPr>
                <w:rFonts w:cs="Arial"/>
                <w:sz w:val="22"/>
                <w:szCs w:val="22"/>
                <w:lang w:val="en-US"/>
              </w:rPr>
            </w:pPr>
            <w:r w:rsidRPr="00364A57">
              <w:rPr>
                <w:rFonts w:cs="Arial"/>
                <w:sz w:val="22"/>
                <w:szCs w:val="22"/>
                <w:lang w:val="en-US"/>
              </w:rPr>
              <w:t>Referrals for interventions of a diagnostic nature e.g. endoscopy</w:t>
            </w:r>
          </w:p>
          <w:p w14:paraId="667ADABE" w14:textId="4793699C" w:rsidR="00822886" w:rsidRPr="00364A57" w:rsidRDefault="00EE7356" w:rsidP="00822886">
            <w:pPr>
              <w:pStyle w:val="ListParagraph"/>
              <w:numPr>
                <w:ilvl w:val="0"/>
                <w:numId w:val="23"/>
              </w:numPr>
              <w:spacing w:line="276" w:lineRule="auto"/>
              <w:rPr>
                <w:rFonts w:cs="Arial"/>
                <w:sz w:val="22"/>
                <w:szCs w:val="22"/>
                <w:lang w:val="en-US"/>
              </w:rPr>
            </w:pPr>
            <w:r>
              <w:rPr>
                <w:rFonts w:cs="Arial"/>
                <w:sz w:val="22"/>
                <w:szCs w:val="22"/>
                <w:lang w:val="en-US"/>
              </w:rPr>
              <w:t xml:space="preserve">Surgical interventions that may be required as a result of </w:t>
            </w:r>
            <w:proofErr w:type="spellStart"/>
            <w:r>
              <w:rPr>
                <w:rFonts w:cs="Arial"/>
                <w:sz w:val="22"/>
                <w:szCs w:val="22"/>
                <w:lang w:val="en-US"/>
              </w:rPr>
              <w:t>pregnancy</w:t>
            </w:r>
            <w:r w:rsidR="00822886" w:rsidRPr="00364A57">
              <w:rPr>
                <w:rFonts w:cs="Arial"/>
                <w:sz w:val="22"/>
                <w:szCs w:val="22"/>
                <w:lang w:val="en-US"/>
              </w:rPr>
              <w:t>Children</w:t>
            </w:r>
            <w:proofErr w:type="spellEnd"/>
            <w:r w:rsidR="00822886" w:rsidRPr="00364A57">
              <w:rPr>
                <w:rFonts w:cs="Arial"/>
                <w:sz w:val="22"/>
                <w:szCs w:val="22"/>
                <w:lang w:val="en-US"/>
              </w:rPr>
              <w:t xml:space="preserve"> under 18 years</w:t>
            </w:r>
          </w:p>
          <w:p w14:paraId="1226889D" w14:textId="77777777" w:rsidR="00822886" w:rsidRDefault="00822886" w:rsidP="00822886">
            <w:pPr>
              <w:pStyle w:val="ListParagraph"/>
              <w:numPr>
                <w:ilvl w:val="0"/>
                <w:numId w:val="23"/>
              </w:numPr>
              <w:spacing w:line="276" w:lineRule="auto"/>
              <w:rPr>
                <w:rFonts w:cs="Arial"/>
                <w:sz w:val="22"/>
                <w:szCs w:val="22"/>
                <w:lang w:val="en-US"/>
              </w:rPr>
            </w:pPr>
            <w:r w:rsidRPr="00364A57">
              <w:rPr>
                <w:rFonts w:cs="Arial"/>
                <w:sz w:val="22"/>
                <w:szCs w:val="22"/>
                <w:lang w:val="en-US"/>
              </w:rPr>
              <w:t>Any urgent procedures</w:t>
            </w:r>
          </w:p>
          <w:p w14:paraId="15E3EEF1" w14:textId="77777777" w:rsidR="00EE7356" w:rsidRDefault="00EE7356" w:rsidP="00EE7356">
            <w:pPr>
              <w:spacing w:line="276" w:lineRule="auto"/>
              <w:ind w:left="720"/>
              <w:rPr>
                <w:rFonts w:cs="Arial"/>
                <w:sz w:val="22"/>
                <w:szCs w:val="22"/>
                <w:lang w:val="en-US"/>
              </w:rPr>
            </w:pPr>
          </w:p>
          <w:p w14:paraId="0248411F" w14:textId="7D476667" w:rsidR="00B15AF6" w:rsidRPr="00DC4794" w:rsidRDefault="00EE7356" w:rsidP="00F807D0">
            <w:pPr>
              <w:suppressAutoHyphens/>
              <w:autoSpaceDN w:val="0"/>
              <w:textAlignment w:val="baseline"/>
              <w:rPr>
                <w:rFonts w:cs="Arial"/>
                <w:sz w:val="16"/>
                <w:szCs w:val="16"/>
              </w:rPr>
            </w:pPr>
            <w:proofErr w:type="gramStart"/>
            <w:r>
              <w:rPr>
                <w:rFonts w:cs="Arial"/>
                <w:sz w:val="22"/>
                <w:szCs w:val="22"/>
                <w:lang w:val="en-US"/>
              </w:rPr>
              <w:t>A list</w:t>
            </w:r>
            <w:proofErr w:type="gramEnd"/>
            <w:r>
              <w:rPr>
                <w:rFonts w:cs="Arial"/>
                <w:sz w:val="22"/>
                <w:szCs w:val="22"/>
                <w:lang w:val="en-US"/>
              </w:rPr>
              <w:t xml:space="preserve"> of specific procedures or conditions that are not subject to the policy are detailed in appendix 1.</w:t>
            </w:r>
          </w:p>
        </w:tc>
      </w:tr>
      <w:tr w:rsidR="00F807D0" w:rsidRPr="00E16D2E" w14:paraId="665C17E5" w14:textId="77777777" w:rsidTr="00DC4794">
        <w:trPr>
          <w:trHeight w:val="481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0197" w14:textId="734402D8" w:rsidR="00F807D0" w:rsidRPr="00364A57" w:rsidRDefault="00F807D0" w:rsidP="00F807D0">
            <w:pPr>
              <w:suppressAutoHyphens/>
              <w:autoSpaceDN w:val="0"/>
              <w:spacing w:line="276" w:lineRule="auto"/>
              <w:textAlignment w:val="baseline"/>
              <w:rPr>
                <w:rFonts w:eastAsia="Calibri" w:cs="Arial"/>
                <w:b/>
                <w:sz w:val="22"/>
                <w:szCs w:val="22"/>
              </w:rPr>
            </w:pPr>
            <w:r w:rsidRPr="00364A57">
              <w:rPr>
                <w:rFonts w:cs="Arial"/>
                <w:b/>
                <w:sz w:val="22"/>
                <w:szCs w:val="22"/>
              </w:rPr>
              <w:lastRenderedPageBreak/>
              <w:t>ELIGIBILITY CRITERIA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787C" w14:textId="77777777" w:rsidR="00846000" w:rsidRPr="00364A57" w:rsidRDefault="00846000" w:rsidP="00F807D0">
            <w:pPr>
              <w:rPr>
                <w:rFonts w:cs="Arial"/>
                <w:sz w:val="16"/>
                <w:szCs w:val="16"/>
              </w:rPr>
            </w:pPr>
          </w:p>
          <w:p w14:paraId="18E612C1" w14:textId="1F878FEF" w:rsidR="00F807D0" w:rsidRPr="00364A57" w:rsidRDefault="00F807D0" w:rsidP="00F807D0">
            <w:pPr>
              <w:rPr>
                <w:rFonts w:cs="Arial"/>
                <w:sz w:val="22"/>
                <w:szCs w:val="22"/>
              </w:rPr>
            </w:pPr>
            <w:r w:rsidRPr="00364A57">
              <w:rPr>
                <w:rFonts w:cs="Arial"/>
                <w:sz w:val="22"/>
                <w:szCs w:val="22"/>
              </w:rPr>
              <w:t xml:space="preserve">The Get Fit First in Barnsley policy applies to the following surgical specialties: </w:t>
            </w:r>
          </w:p>
          <w:p w14:paraId="7B2D42A3" w14:textId="12625763" w:rsidR="00EE7356" w:rsidRDefault="00EE7356" w:rsidP="00846000">
            <w:pPr>
              <w:pStyle w:val="ListParagraph"/>
              <w:numPr>
                <w:ilvl w:val="0"/>
                <w:numId w:val="28"/>
              </w:numPr>
              <w:ind w:left="771" w:hanging="425"/>
              <w:rPr>
                <w:rFonts w:cs="Arial"/>
                <w:sz w:val="22"/>
                <w:szCs w:val="22"/>
              </w:rPr>
            </w:pPr>
            <w:r>
              <w:rPr>
                <w:rFonts w:cs="Arial"/>
                <w:sz w:val="22"/>
                <w:szCs w:val="22"/>
              </w:rPr>
              <w:t>Colorectal</w:t>
            </w:r>
          </w:p>
          <w:p w14:paraId="7F961752" w14:textId="61BF214B" w:rsidR="00F807D0" w:rsidRPr="00364A57" w:rsidRDefault="00F807D0" w:rsidP="00846000">
            <w:pPr>
              <w:pStyle w:val="ListParagraph"/>
              <w:numPr>
                <w:ilvl w:val="0"/>
                <w:numId w:val="28"/>
              </w:numPr>
              <w:ind w:left="771" w:hanging="425"/>
              <w:rPr>
                <w:rFonts w:cs="Arial"/>
                <w:sz w:val="22"/>
                <w:szCs w:val="22"/>
              </w:rPr>
            </w:pPr>
            <w:r w:rsidRPr="00364A57">
              <w:rPr>
                <w:rFonts w:cs="Arial"/>
                <w:sz w:val="22"/>
                <w:szCs w:val="22"/>
              </w:rPr>
              <w:t xml:space="preserve">General Surgery </w:t>
            </w:r>
            <w:r w:rsidR="00EE7356">
              <w:rPr>
                <w:rFonts w:cs="Arial"/>
                <w:sz w:val="22"/>
                <w:szCs w:val="22"/>
              </w:rPr>
              <w:t>(including Upper GI and Liver surgeries)</w:t>
            </w:r>
          </w:p>
          <w:p w14:paraId="3C09AE35" w14:textId="299DA735" w:rsidR="00F807D0" w:rsidRPr="00364A57" w:rsidRDefault="00F807D0" w:rsidP="00846000">
            <w:pPr>
              <w:pStyle w:val="ListParagraph"/>
              <w:numPr>
                <w:ilvl w:val="0"/>
                <w:numId w:val="28"/>
              </w:numPr>
              <w:ind w:left="771" w:hanging="425"/>
              <w:rPr>
                <w:rFonts w:cs="Arial"/>
                <w:sz w:val="22"/>
                <w:szCs w:val="22"/>
              </w:rPr>
            </w:pPr>
            <w:r w:rsidRPr="00364A57">
              <w:rPr>
                <w:rFonts w:cs="Arial"/>
                <w:sz w:val="22"/>
                <w:szCs w:val="22"/>
              </w:rPr>
              <w:t xml:space="preserve">Cardiothoracic </w:t>
            </w:r>
          </w:p>
          <w:p w14:paraId="5A6D0630" w14:textId="5AAA9DA8" w:rsidR="00F807D0" w:rsidRPr="00364A57" w:rsidRDefault="00F807D0" w:rsidP="00846000">
            <w:pPr>
              <w:pStyle w:val="ListParagraph"/>
              <w:numPr>
                <w:ilvl w:val="0"/>
                <w:numId w:val="29"/>
              </w:numPr>
              <w:ind w:left="771" w:hanging="425"/>
              <w:rPr>
                <w:rFonts w:cs="Arial"/>
                <w:sz w:val="22"/>
                <w:szCs w:val="22"/>
              </w:rPr>
            </w:pPr>
            <w:r w:rsidRPr="00364A57">
              <w:rPr>
                <w:rFonts w:cs="Arial"/>
                <w:sz w:val="22"/>
                <w:szCs w:val="22"/>
              </w:rPr>
              <w:t xml:space="preserve">ENT </w:t>
            </w:r>
          </w:p>
          <w:p w14:paraId="62D54148" w14:textId="02580E37" w:rsidR="00F807D0" w:rsidRPr="00364A57" w:rsidRDefault="00F807D0" w:rsidP="00846000">
            <w:pPr>
              <w:pStyle w:val="ListParagraph"/>
              <w:numPr>
                <w:ilvl w:val="0"/>
                <w:numId w:val="29"/>
              </w:numPr>
              <w:ind w:left="771" w:hanging="425"/>
              <w:rPr>
                <w:rFonts w:cs="Arial"/>
                <w:sz w:val="22"/>
                <w:szCs w:val="22"/>
              </w:rPr>
            </w:pPr>
            <w:r w:rsidRPr="00364A57">
              <w:rPr>
                <w:rFonts w:cs="Arial"/>
                <w:sz w:val="22"/>
                <w:szCs w:val="22"/>
              </w:rPr>
              <w:t xml:space="preserve">Gynaecology </w:t>
            </w:r>
          </w:p>
          <w:p w14:paraId="2A364EDC" w14:textId="7C6D1A27" w:rsidR="00F807D0" w:rsidRPr="00364A57" w:rsidRDefault="00F807D0" w:rsidP="00846000">
            <w:pPr>
              <w:pStyle w:val="ListParagraph"/>
              <w:numPr>
                <w:ilvl w:val="0"/>
                <w:numId w:val="29"/>
              </w:numPr>
              <w:ind w:left="771" w:hanging="425"/>
              <w:rPr>
                <w:rFonts w:cs="Arial"/>
                <w:sz w:val="22"/>
                <w:szCs w:val="22"/>
              </w:rPr>
            </w:pPr>
            <w:r w:rsidRPr="00364A57">
              <w:rPr>
                <w:rFonts w:cs="Arial"/>
                <w:sz w:val="22"/>
                <w:szCs w:val="22"/>
              </w:rPr>
              <w:t xml:space="preserve">Neurosurgery </w:t>
            </w:r>
            <w:r w:rsidR="00EE7356">
              <w:rPr>
                <w:rFonts w:cs="Arial"/>
                <w:sz w:val="22"/>
                <w:szCs w:val="22"/>
              </w:rPr>
              <w:t>(including spinal surgery)</w:t>
            </w:r>
          </w:p>
          <w:p w14:paraId="007C1063" w14:textId="42F2C1F3" w:rsidR="00F807D0" w:rsidRPr="00364A57" w:rsidRDefault="00F807D0" w:rsidP="00846000">
            <w:pPr>
              <w:pStyle w:val="ListParagraph"/>
              <w:numPr>
                <w:ilvl w:val="0"/>
                <w:numId w:val="29"/>
              </w:numPr>
              <w:ind w:left="771" w:hanging="425"/>
              <w:rPr>
                <w:rFonts w:cs="Arial"/>
                <w:sz w:val="22"/>
                <w:szCs w:val="22"/>
              </w:rPr>
            </w:pPr>
            <w:r w:rsidRPr="00364A57">
              <w:rPr>
                <w:rFonts w:cs="Arial"/>
                <w:sz w:val="22"/>
                <w:szCs w:val="22"/>
              </w:rPr>
              <w:t xml:space="preserve">Plastic Surgery </w:t>
            </w:r>
          </w:p>
          <w:p w14:paraId="328D5DDD" w14:textId="20AE727E" w:rsidR="00F807D0" w:rsidRPr="00364A57" w:rsidRDefault="00F807D0" w:rsidP="00846000">
            <w:pPr>
              <w:pStyle w:val="ListParagraph"/>
              <w:numPr>
                <w:ilvl w:val="0"/>
                <w:numId w:val="29"/>
              </w:numPr>
              <w:ind w:left="771" w:hanging="425"/>
              <w:rPr>
                <w:rFonts w:cs="Arial"/>
                <w:sz w:val="22"/>
                <w:szCs w:val="22"/>
              </w:rPr>
            </w:pPr>
            <w:r w:rsidRPr="00364A57">
              <w:rPr>
                <w:rFonts w:cs="Arial"/>
                <w:sz w:val="22"/>
                <w:szCs w:val="22"/>
              </w:rPr>
              <w:t xml:space="preserve">Trauma &amp; Orthopaedics (including MSK) </w:t>
            </w:r>
          </w:p>
          <w:p w14:paraId="7456AE17" w14:textId="34F253A5" w:rsidR="00F807D0" w:rsidRPr="00364A57" w:rsidRDefault="00F807D0" w:rsidP="00846000">
            <w:pPr>
              <w:pStyle w:val="ListParagraph"/>
              <w:numPr>
                <w:ilvl w:val="0"/>
                <w:numId w:val="29"/>
              </w:numPr>
              <w:ind w:left="771" w:hanging="425"/>
              <w:rPr>
                <w:rFonts w:cs="Arial"/>
                <w:sz w:val="22"/>
                <w:szCs w:val="22"/>
              </w:rPr>
            </w:pPr>
            <w:r w:rsidRPr="00364A57">
              <w:rPr>
                <w:rFonts w:cs="Arial"/>
                <w:sz w:val="22"/>
                <w:szCs w:val="22"/>
              </w:rPr>
              <w:t xml:space="preserve">Urology </w:t>
            </w:r>
          </w:p>
          <w:p w14:paraId="3C61A6A6" w14:textId="77777777" w:rsidR="00F807D0" w:rsidRPr="00364A57" w:rsidRDefault="00F807D0" w:rsidP="00F807D0">
            <w:pPr>
              <w:rPr>
                <w:rFonts w:cs="Arial"/>
                <w:sz w:val="16"/>
                <w:szCs w:val="16"/>
              </w:rPr>
            </w:pPr>
          </w:p>
          <w:p w14:paraId="0942FAF6" w14:textId="7ED7A48E" w:rsidR="00F807D0" w:rsidRPr="00364A57" w:rsidRDefault="00F807D0" w:rsidP="00F807D0">
            <w:pPr>
              <w:rPr>
                <w:rFonts w:cs="Arial"/>
                <w:sz w:val="22"/>
                <w:szCs w:val="22"/>
              </w:rPr>
            </w:pPr>
            <w:r w:rsidRPr="00364A57">
              <w:rPr>
                <w:rFonts w:cs="Arial"/>
                <w:sz w:val="22"/>
                <w:szCs w:val="22"/>
              </w:rPr>
              <w:t xml:space="preserve">Barnsley CCG does not routinely commission referral to secondary care for routine, non-urgent elective surgery for patients whose BMI is 30 or more. Patients with a BMI of 30 or more are to be offered a referral to Tier 2 weight management to enable completion of a period of health improvement for 6 months before commencement of surgery, offering an opportunity for weight loss to improve health and surgical outcomes. </w:t>
            </w:r>
          </w:p>
          <w:p w14:paraId="11987267" w14:textId="77777777" w:rsidR="00846000" w:rsidRPr="00364A57" w:rsidRDefault="00846000" w:rsidP="00F807D0">
            <w:pPr>
              <w:rPr>
                <w:rFonts w:cs="Arial"/>
                <w:sz w:val="16"/>
                <w:szCs w:val="16"/>
              </w:rPr>
            </w:pPr>
          </w:p>
          <w:p w14:paraId="69A25BDF" w14:textId="77777777" w:rsidR="00F807D0" w:rsidRPr="00364A57" w:rsidRDefault="00F807D0" w:rsidP="00F807D0">
            <w:pPr>
              <w:rPr>
                <w:rFonts w:cs="Arial"/>
                <w:sz w:val="22"/>
                <w:szCs w:val="22"/>
              </w:rPr>
            </w:pPr>
            <w:r w:rsidRPr="00364A57">
              <w:rPr>
                <w:rFonts w:cs="Arial"/>
                <w:sz w:val="22"/>
                <w:szCs w:val="22"/>
              </w:rPr>
              <w:t>The following applies for all people:</w:t>
            </w:r>
          </w:p>
          <w:p w14:paraId="14AB762C" w14:textId="1B0FB939" w:rsidR="00F807D0" w:rsidRPr="00364A57" w:rsidRDefault="00F807D0" w:rsidP="00846000">
            <w:pPr>
              <w:pStyle w:val="ListParagraph"/>
              <w:numPr>
                <w:ilvl w:val="0"/>
                <w:numId w:val="31"/>
              </w:numPr>
              <w:rPr>
                <w:rFonts w:cs="Arial"/>
                <w:sz w:val="22"/>
                <w:szCs w:val="22"/>
              </w:rPr>
            </w:pPr>
            <w:r w:rsidRPr="00364A57">
              <w:rPr>
                <w:rFonts w:cs="Arial"/>
                <w:sz w:val="22"/>
                <w:szCs w:val="22"/>
              </w:rPr>
              <w:t>If weight management reduces a BMI to ≤30 then referral for surgery could be expedited. The weight loss should be at least maintained until commencement of surgery and preferably continue until BMI is within the healthy range.</w:t>
            </w:r>
          </w:p>
          <w:p w14:paraId="10E128A4" w14:textId="77777777" w:rsidR="00F807D0" w:rsidRPr="00364A57" w:rsidRDefault="00F807D0" w:rsidP="00846000">
            <w:pPr>
              <w:rPr>
                <w:rFonts w:cs="Arial"/>
                <w:sz w:val="16"/>
                <w:szCs w:val="16"/>
              </w:rPr>
            </w:pPr>
          </w:p>
          <w:p w14:paraId="28E0C6F7" w14:textId="0ECDA093" w:rsidR="00F807D0" w:rsidRPr="00364A57" w:rsidRDefault="00F807D0" w:rsidP="00846000">
            <w:pPr>
              <w:pStyle w:val="ListParagraph"/>
              <w:numPr>
                <w:ilvl w:val="0"/>
                <w:numId w:val="31"/>
              </w:numPr>
              <w:rPr>
                <w:rFonts w:cs="Arial"/>
                <w:sz w:val="22"/>
                <w:szCs w:val="22"/>
              </w:rPr>
            </w:pPr>
            <w:r w:rsidRPr="00364A57">
              <w:rPr>
                <w:rFonts w:cs="Arial"/>
                <w:sz w:val="22"/>
                <w:szCs w:val="22"/>
              </w:rPr>
              <w:t>If the weight loss required is significant then a target loss of 10% of body weight which reduces the BMI to ≤35 within 6 months is required prior to a referral for surgery. Preferably weight loss should continue until BMI is within the healthy range.</w:t>
            </w:r>
          </w:p>
          <w:p w14:paraId="523DABB9" w14:textId="77777777" w:rsidR="00F807D0" w:rsidRPr="00364A57" w:rsidRDefault="00F807D0" w:rsidP="00846000">
            <w:pPr>
              <w:rPr>
                <w:rFonts w:cs="Arial"/>
                <w:sz w:val="16"/>
                <w:szCs w:val="16"/>
              </w:rPr>
            </w:pPr>
          </w:p>
          <w:p w14:paraId="22F1C8AD" w14:textId="3F866462" w:rsidR="00F807D0" w:rsidRPr="00364A57" w:rsidRDefault="00F807D0" w:rsidP="00846000">
            <w:pPr>
              <w:pStyle w:val="ListParagraph"/>
              <w:numPr>
                <w:ilvl w:val="0"/>
                <w:numId w:val="31"/>
              </w:numPr>
              <w:rPr>
                <w:rFonts w:cs="Arial"/>
                <w:sz w:val="22"/>
                <w:szCs w:val="22"/>
              </w:rPr>
            </w:pPr>
            <w:r w:rsidRPr="00364A57">
              <w:rPr>
                <w:rFonts w:cs="Arial"/>
                <w:sz w:val="22"/>
                <w:szCs w:val="22"/>
              </w:rPr>
              <w:t>If a clinician feels that there are exceptional circumstances then the patient may be referred to the Individual Funding Request Panel for consideration.</w:t>
            </w:r>
          </w:p>
          <w:p w14:paraId="30AC60FA" w14:textId="77777777" w:rsidR="00F807D0" w:rsidRPr="00364A57" w:rsidRDefault="00F807D0" w:rsidP="00F807D0">
            <w:pPr>
              <w:rPr>
                <w:rFonts w:cs="Arial"/>
                <w:sz w:val="16"/>
                <w:szCs w:val="16"/>
              </w:rPr>
            </w:pPr>
          </w:p>
          <w:p w14:paraId="13AECBA6" w14:textId="77777777" w:rsidR="00846000" w:rsidRDefault="00F807D0" w:rsidP="00DC4794">
            <w:pPr>
              <w:rPr>
                <w:rFonts w:cs="Arial"/>
                <w:sz w:val="22"/>
                <w:szCs w:val="22"/>
              </w:rPr>
            </w:pPr>
            <w:r w:rsidRPr="00364A57">
              <w:rPr>
                <w:rFonts w:cs="Arial"/>
                <w:sz w:val="22"/>
                <w:szCs w:val="22"/>
              </w:rPr>
              <w:t>Where a patient refuses to engage with weight management services they will be given support and information to help them understand the benefits of the Get Fit First in Barnsley request and be re-seen in the GPs surgery after 3 months and reoffered the opportunity to engage with the service. If there is still no agreement they will be referred 6 months after the initial consultation.</w:t>
            </w:r>
          </w:p>
          <w:p w14:paraId="28158CAF" w14:textId="77777777" w:rsidR="0090299D" w:rsidRDefault="0090299D" w:rsidP="00DC4794">
            <w:pPr>
              <w:rPr>
                <w:rFonts w:cs="Arial"/>
                <w:sz w:val="22"/>
                <w:szCs w:val="22"/>
              </w:rPr>
            </w:pPr>
          </w:p>
          <w:p w14:paraId="551E4CDA" w14:textId="77777777" w:rsidR="009D7B9C" w:rsidRPr="00B6193C" w:rsidRDefault="009D7B9C" w:rsidP="009D7B9C">
            <w:pPr>
              <w:rPr>
                <w:rFonts w:eastAsia="Calibri" w:cs="Arial"/>
                <w:b/>
                <w:sz w:val="22"/>
                <w:szCs w:val="22"/>
                <w:u w:val="single"/>
              </w:rPr>
            </w:pPr>
            <w:r w:rsidRPr="00B6193C">
              <w:rPr>
                <w:rFonts w:eastAsia="Calibri" w:cs="Arial"/>
                <w:b/>
                <w:sz w:val="22"/>
                <w:szCs w:val="22"/>
                <w:u w:val="single"/>
              </w:rPr>
              <w:t>Process for patients who smoke AND have a BMI above 30</w:t>
            </w:r>
          </w:p>
          <w:p w14:paraId="0677333F" w14:textId="77777777" w:rsidR="009D7B9C" w:rsidRPr="00B6193C" w:rsidRDefault="009D7B9C" w:rsidP="009D7B9C">
            <w:pPr>
              <w:rPr>
                <w:rFonts w:eastAsia="Calibri" w:cs="Arial"/>
                <w:sz w:val="22"/>
                <w:szCs w:val="22"/>
              </w:rPr>
            </w:pPr>
            <w:r w:rsidRPr="00B6193C">
              <w:rPr>
                <w:rFonts w:eastAsia="Calibri" w:cs="Arial"/>
                <w:sz w:val="22"/>
                <w:szCs w:val="22"/>
              </w:rPr>
              <w:t>This commissioning statement should be read in conjunction with the Get Fit First in Barnsley – Weight Management Commissioning Statement</w:t>
            </w:r>
          </w:p>
          <w:p w14:paraId="25F5A884" w14:textId="77777777" w:rsidR="009D7B9C" w:rsidRDefault="009D7B9C" w:rsidP="009D7B9C">
            <w:pPr>
              <w:pStyle w:val="ListParagraph"/>
              <w:numPr>
                <w:ilvl w:val="0"/>
                <w:numId w:val="37"/>
              </w:numPr>
              <w:rPr>
                <w:rFonts w:eastAsia="Calibri" w:cs="Arial"/>
                <w:sz w:val="22"/>
                <w:szCs w:val="22"/>
              </w:rPr>
            </w:pPr>
            <w:r w:rsidRPr="00B6193C">
              <w:rPr>
                <w:rFonts w:eastAsia="Calibri" w:cs="Arial"/>
                <w:sz w:val="22"/>
                <w:szCs w:val="22"/>
              </w:rPr>
              <w:t>Patients should be offered support to access both weight management and smoking cessation services</w:t>
            </w:r>
          </w:p>
          <w:p w14:paraId="08A8A4C0" w14:textId="77777777" w:rsidR="009D7B9C" w:rsidRDefault="009D7B9C" w:rsidP="009D7B9C">
            <w:pPr>
              <w:pStyle w:val="ListParagraph"/>
              <w:numPr>
                <w:ilvl w:val="0"/>
                <w:numId w:val="37"/>
              </w:numPr>
              <w:rPr>
                <w:rFonts w:eastAsia="Calibri" w:cs="Arial"/>
                <w:sz w:val="22"/>
                <w:szCs w:val="22"/>
              </w:rPr>
            </w:pPr>
            <w:r w:rsidRPr="00B6193C">
              <w:rPr>
                <w:rFonts w:eastAsia="Calibri" w:cs="Arial"/>
                <w:sz w:val="22"/>
                <w:szCs w:val="22"/>
              </w:rPr>
              <w:t xml:space="preserve">Patients should offered choice and be supported to focus on one health improvement goal at a time during the health improvement period. </w:t>
            </w:r>
          </w:p>
          <w:p w14:paraId="09A6FD9D" w14:textId="48C51CBC" w:rsidR="00DC4794" w:rsidRPr="009D7B9C" w:rsidRDefault="009D7B9C" w:rsidP="009D7B9C">
            <w:pPr>
              <w:pStyle w:val="ListParagraph"/>
              <w:numPr>
                <w:ilvl w:val="0"/>
                <w:numId w:val="37"/>
              </w:numPr>
              <w:rPr>
                <w:rFonts w:eastAsia="Calibri" w:cs="Arial"/>
                <w:sz w:val="22"/>
                <w:szCs w:val="22"/>
              </w:rPr>
            </w:pPr>
            <w:r w:rsidRPr="009D7B9C">
              <w:rPr>
                <w:rFonts w:eastAsia="Calibri" w:cs="Arial"/>
                <w:sz w:val="22"/>
                <w:szCs w:val="22"/>
              </w:rPr>
              <w:t>If patient meets one goal earlier (smoking abstinence or weight loss target) then they can be referred regardless of outcome in other area</w:t>
            </w:r>
          </w:p>
        </w:tc>
      </w:tr>
      <w:tr w:rsidR="001F2002" w:rsidRPr="00E16D2E" w14:paraId="26092934"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CC2F" w14:textId="25499040" w:rsidR="001F2002" w:rsidRPr="00364A57" w:rsidRDefault="00F807D0" w:rsidP="00A03E4A">
            <w:pPr>
              <w:suppressAutoHyphens/>
              <w:autoSpaceDN w:val="0"/>
              <w:spacing w:line="276" w:lineRule="auto"/>
              <w:textAlignment w:val="baseline"/>
              <w:rPr>
                <w:rFonts w:eastAsia="Calibri" w:cs="Arial"/>
                <w:b/>
                <w:sz w:val="22"/>
                <w:szCs w:val="22"/>
              </w:rPr>
            </w:pPr>
            <w:r w:rsidRPr="00364A57">
              <w:rPr>
                <w:rFonts w:eastAsia="Calibri" w:cs="Arial"/>
                <w:b/>
                <w:sz w:val="22"/>
                <w:szCs w:val="22"/>
              </w:rPr>
              <w:t>S</w:t>
            </w:r>
            <w:r w:rsidR="001F2002" w:rsidRPr="00364A57">
              <w:rPr>
                <w:rFonts w:eastAsia="Calibri" w:cs="Arial"/>
                <w:b/>
                <w:sz w:val="22"/>
                <w:szCs w:val="22"/>
              </w:rPr>
              <w:t>ummary of evidence / rationale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CA41B" w14:textId="77777777" w:rsidR="00DC4794" w:rsidRPr="00DC4794" w:rsidRDefault="00DC4794" w:rsidP="00822886">
            <w:pPr>
              <w:rPr>
                <w:rFonts w:eastAsia="Calibri" w:cs="Arial"/>
                <w:sz w:val="16"/>
                <w:szCs w:val="16"/>
              </w:rPr>
            </w:pPr>
          </w:p>
          <w:p w14:paraId="1BBC8319" w14:textId="4E27BE4E" w:rsidR="00822886" w:rsidRPr="00364A57" w:rsidRDefault="00822886" w:rsidP="00822886">
            <w:pPr>
              <w:rPr>
                <w:rFonts w:eastAsia="Calibri" w:cs="Arial"/>
                <w:sz w:val="22"/>
                <w:szCs w:val="22"/>
              </w:rPr>
            </w:pPr>
            <w:r w:rsidRPr="00364A57">
              <w:rPr>
                <w:rFonts w:eastAsia="Calibri" w:cs="Arial"/>
                <w:sz w:val="22"/>
                <w:szCs w:val="22"/>
              </w:rPr>
              <w:t>Weight Management:</w:t>
            </w:r>
          </w:p>
          <w:p w14:paraId="1F530C99" w14:textId="77777777" w:rsidR="00822886" w:rsidRPr="00364A57" w:rsidRDefault="00822886" w:rsidP="00822886">
            <w:pPr>
              <w:rPr>
                <w:rFonts w:eastAsia="Calibri" w:cs="Arial"/>
                <w:sz w:val="16"/>
                <w:szCs w:val="16"/>
              </w:rPr>
            </w:pPr>
          </w:p>
          <w:p w14:paraId="29FE11E0" w14:textId="77777777" w:rsidR="00822886" w:rsidRPr="001476DA" w:rsidRDefault="00822886" w:rsidP="00822886">
            <w:pPr>
              <w:spacing w:after="160" w:line="259" w:lineRule="auto"/>
              <w:rPr>
                <w:rFonts w:eastAsia="Calibri" w:cs="Arial"/>
                <w:sz w:val="22"/>
                <w:szCs w:val="22"/>
              </w:rPr>
            </w:pPr>
            <w:r w:rsidRPr="00822886">
              <w:rPr>
                <w:rFonts w:eastAsia="Calibri" w:cs="Arial"/>
                <w:sz w:val="22"/>
                <w:szCs w:val="22"/>
              </w:rPr>
              <w:t xml:space="preserve">       </w:t>
            </w:r>
            <w:hyperlink r:id="rId9" w:history="1">
              <w:r w:rsidRPr="001476DA">
                <w:rPr>
                  <w:rFonts w:eastAsia="Calibri" w:cs="Arial"/>
                  <w:sz w:val="22"/>
                  <w:szCs w:val="22"/>
                  <w:u w:val="single"/>
                </w:rPr>
                <w:t>https://www.nice.org.uk/guidance/ph53</w:t>
              </w:r>
            </w:hyperlink>
            <w:r w:rsidRPr="001476DA">
              <w:rPr>
                <w:rFonts w:eastAsia="Calibri" w:cs="Arial"/>
                <w:sz w:val="22"/>
                <w:szCs w:val="22"/>
              </w:rPr>
              <w:t xml:space="preserve"> </w:t>
            </w:r>
          </w:p>
          <w:p w14:paraId="13009645" w14:textId="0645FD0F" w:rsidR="00822886" w:rsidRPr="001476DA" w:rsidRDefault="00822886" w:rsidP="00822886">
            <w:pPr>
              <w:tabs>
                <w:tab w:val="left" w:pos="426"/>
              </w:tabs>
              <w:spacing w:after="160" w:line="259" w:lineRule="auto"/>
              <w:rPr>
                <w:rFonts w:eastAsia="Calibri" w:cs="Arial"/>
                <w:sz w:val="22"/>
                <w:szCs w:val="22"/>
              </w:rPr>
            </w:pPr>
            <w:r w:rsidRPr="001476DA">
              <w:rPr>
                <w:rFonts w:eastAsia="Calibri" w:cs="Arial"/>
                <w:sz w:val="22"/>
                <w:szCs w:val="22"/>
              </w:rPr>
              <w:lastRenderedPageBreak/>
              <w:t xml:space="preserve">       </w:t>
            </w:r>
            <w:hyperlink r:id="rId10" w:history="1">
              <w:r w:rsidR="00F807D0" w:rsidRPr="001476DA">
                <w:rPr>
                  <w:rStyle w:val="Hyperlink"/>
                  <w:rFonts w:eastAsia="Calibri" w:cs="Arial"/>
                  <w:color w:val="auto"/>
                  <w:sz w:val="22"/>
                  <w:szCs w:val="22"/>
                </w:rPr>
                <w:t>https://www.nice.org.uk/guidance/qs111</w:t>
              </w:r>
            </w:hyperlink>
            <w:r w:rsidRPr="001476DA">
              <w:rPr>
                <w:rFonts w:eastAsia="Calibri" w:cs="Arial"/>
                <w:sz w:val="22"/>
                <w:szCs w:val="22"/>
              </w:rPr>
              <w:t xml:space="preserve"> </w:t>
            </w:r>
          </w:p>
          <w:p w14:paraId="18918B04" w14:textId="77777777" w:rsidR="00822886" w:rsidRPr="00822886" w:rsidRDefault="00822886" w:rsidP="00822886">
            <w:pPr>
              <w:spacing w:after="160" w:line="259" w:lineRule="auto"/>
              <w:rPr>
                <w:rFonts w:eastAsia="Calibri" w:cs="Arial"/>
                <w:sz w:val="22"/>
                <w:szCs w:val="22"/>
              </w:rPr>
            </w:pPr>
            <w:r w:rsidRPr="00822886">
              <w:rPr>
                <w:rFonts w:eastAsia="Calibri" w:cs="Arial"/>
                <w:sz w:val="22"/>
                <w:szCs w:val="22"/>
              </w:rPr>
              <w:t xml:space="preserve">Published - </w:t>
            </w:r>
          </w:p>
          <w:p w14:paraId="228EE9E7"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Walking and cycling. NICE public health guidance 41 (November 2012)</w:t>
            </w:r>
          </w:p>
          <w:p w14:paraId="5FB00767"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Preventing type 2 diabetes – risk identification and interventions for high-risk individuals. NICE public health guidance  38 (2012)</w:t>
            </w:r>
          </w:p>
          <w:p w14:paraId="7F18D501"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Preventing type 2 diabetes – population and community interventions. NICE public health guidance 35 (2011)</w:t>
            </w:r>
          </w:p>
          <w:p w14:paraId="76B0785A"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Weight management before, during and after pregnancy. NICE public health guidance 27 (2010)</w:t>
            </w:r>
          </w:p>
          <w:p w14:paraId="6B061199"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Prevention of cardiovascular disease. NICE public health guidance 25 (2010)</w:t>
            </w:r>
          </w:p>
          <w:p w14:paraId="62DE12FD"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Alcohol use disorders – preventing harmful drinking. NICE public health guidance 24 (2010)</w:t>
            </w:r>
          </w:p>
          <w:p w14:paraId="7C8B7036"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Promoting physical activity for children and young people. NICE public health guidance 17 (2009)</w:t>
            </w:r>
          </w:p>
          <w:p w14:paraId="0C5CD4EF"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Promoting physical activity in the workplace. NICE public health guidance 13 (2008)</w:t>
            </w:r>
          </w:p>
          <w:p w14:paraId="60619E7A"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Maternal and child nutrition. NICE public health guidance 11 (2008)</w:t>
            </w:r>
          </w:p>
          <w:p w14:paraId="1C099D5E"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Community engagement. NICE public health guidance 9 (2008)</w:t>
            </w:r>
          </w:p>
          <w:p w14:paraId="37E6D9F8"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Physical activity and the environment. NICE public health guidance 8 (2008)</w:t>
            </w:r>
          </w:p>
          <w:p w14:paraId="2E44C920" w14:textId="77777777" w:rsidR="00822886" w:rsidRPr="00822886"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Behaviour change: the principles for effective interventions. NICE public health guidance 6 (2007)</w:t>
            </w:r>
          </w:p>
          <w:p w14:paraId="1FE495C9" w14:textId="77777777" w:rsidR="00822886" w:rsidRPr="00364A57" w:rsidRDefault="00822886" w:rsidP="00DC4794">
            <w:pPr>
              <w:numPr>
                <w:ilvl w:val="0"/>
                <w:numId w:val="24"/>
              </w:numPr>
              <w:spacing w:after="160" w:line="276" w:lineRule="auto"/>
              <w:contextualSpacing/>
              <w:rPr>
                <w:rFonts w:eastAsia="Calibri" w:cs="Arial"/>
                <w:sz w:val="22"/>
                <w:szCs w:val="22"/>
              </w:rPr>
            </w:pPr>
            <w:r w:rsidRPr="00822886">
              <w:rPr>
                <w:rFonts w:eastAsia="Calibri" w:cs="Arial"/>
                <w:sz w:val="22"/>
                <w:szCs w:val="22"/>
              </w:rPr>
              <w:t>Obesity. NICE clinical guideline 43 (2006)</w:t>
            </w:r>
          </w:p>
          <w:p w14:paraId="6C067C5A" w14:textId="2EE861F9" w:rsidR="00822886" w:rsidRPr="00364A57" w:rsidRDefault="00822886" w:rsidP="00822886">
            <w:pPr>
              <w:spacing w:after="160" w:line="259" w:lineRule="auto"/>
              <w:contextualSpacing/>
              <w:rPr>
                <w:rFonts w:eastAsia="Calibri" w:cs="Arial"/>
                <w:sz w:val="22"/>
                <w:szCs w:val="22"/>
              </w:rPr>
            </w:pPr>
            <w:r w:rsidRPr="00364A57">
              <w:rPr>
                <w:rFonts w:eastAsia="Calibri" w:cs="Arial"/>
                <w:sz w:val="22"/>
                <w:szCs w:val="22"/>
              </w:rPr>
              <w:t xml:space="preserve">References: </w:t>
            </w:r>
          </w:p>
          <w:p w14:paraId="291C9685"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r w:rsidRPr="00364A57">
              <w:rPr>
                <w:rFonts w:cs="Arial"/>
                <w:color w:val="000000"/>
                <w:sz w:val="22"/>
                <w:szCs w:val="22"/>
                <w:lang w:eastAsia="en-GB"/>
              </w:rPr>
              <w:t xml:space="preserve">The Department of Health report Healthy Lives, Healthy People: A call to action on obesity in England, (2011) </w:t>
            </w:r>
          </w:p>
          <w:p w14:paraId="48C725B6" w14:textId="77777777" w:rsidR="00822886" w:rsidRPr="001476DA" w:rsidRDefault="005E2D01" w:rsidP="00DC4794">
            <w:pPr>
              <w:numPr>
                <w:ilvl w:val="0"/>
                <w:numId w:val="25"/>
              </w:numPr>
              <w:autoSpaceDE w:val="0"/>
              <w:autoSpaceDN w:val="0"/>
              <w:adjustRightInd w:val="0"/>
              <w:spacing w:line="276" w:lineRule="auto"/>
              <w:ind w:right="-188"/>
              <w:rPr>
                <w:rFonts w:cs="Arial"/>
                <w:sz w:val="22"/>
                <w:szCs w:val="22"/>
                <w:lang w:eastAsia="en-GB"/>
              </w:rPr>
            </w:pPr>
            <w:hyperlink r:id="rId11" w:history="1">
              <w:r w:rsidR="00822886" w:rsidRPr="001476DA">
                <w:rPr>
                  <w:rStyle w:val="Hyperlink"/>
                  <w:rFonts w:cs="Arial"/>
                  <w:color w:val="auto"/>
                  <w:sz w:val="22"/>
                  <w:szCs w:val="22"/>
                </w:rPr>
                <w:t>http://www.noo.org.uk/NOO_about_obesity/obesity_and_health/health_risk_adult</w:t>
              </w:r>
            </w:hyperlink>
            <w:r w:rsidR="00822886" w:rsidRPr="001476DA">
              <w:rPr>
                <w:rFonts w:cs="Arial"/>
                <w:sz w:val="22"/>
                <w:szCs w:val="22"/>
                <w:lang w:eastAsia="en-GB"/>
              </w:rPr>
              <w:t xml:space="preserve">  </w:t>
            </w:r>
          </w:p>
          <w:p w14:paraId="1AFE9634"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r w:rsidRPr="00364A57">
              <w:rPr>
                <w:rFonts w:cs="Arial"/>
                <w:color w:val="000000"/>
                <w:sz w:val="22"/>
                <w:szCs w:val="22"/>
                <w:lang w:eastAsia="en-GB"/>
              </w:rPr>
              <w:t xml:space="preserve">The Royal College of Anaesthetists (2011). NA P4 Report and findings of the 4th National Audit Project of The Royal College of Anaesthetists: Major complication of airway management in the UK. RCOA, London. </w:t>
            </w:r>
          </w:p>
          <w:p w14:paraId="33D50FA0"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r w:rsidRPr="00364A57">
              <w:rPr>
                <w:rFonts w:cs="Arial"/>
                <w:color w:val="000000"/>
                <w:sz w:val="22"/>
                <w:szCs w:val="22"/>
                <w:lang w:eastAsia="en-GB"/>
              </w:rPr>
              <w:t xml:space="preserve">Chen CL et al. (2011). The impact of obesity on breast surgery complications. </w:t>
            </w:r>
            <w:proofErr w:type="spellStart"/>
            <w:r w:rsidRPr="00364A57">
              <w:rPr>
                <w:rFonts w:cs="Arial"/>
                <w:color w:val="000000"/>
                <w:sz w:val="22"/>
                <w:szCs w:val="22"/>
                <w:lang w:eastAsia="en-GB"/>
              </w:rPr>
              <w:t>Plast</w:t>
            </w:r>
            <w:proofErr w:type="spellEnd"/>
            <w:r w:rsidRPr="00364A57">
              <w:rPr>
                <w:rFonts w:cs="Arial"/>
                <w:color w:val="000000"/>
                <w:sz w:val="22"/>
                <w:szCs w:val="22"/>
                <w:lang w:eastAsia="en-GB"/>
              </w:rPr>
              <w:t xml:space="preserve"> </w:t>
            </w:r>
            <w:proofErr w:type="spellStart"/>
            <w:r w:rsidRPr="00364A57">
              <w:rPr>
                <w:rFonts w:cs="Arial"/>
                <w:color w:val="000000"/>
                <w:sz w:val="22"/>
                <w:szCs w:val="22"/>
                <w:lang w:eastAsia="en-GB"/>
              </w:rPr>
              <w:t>Reconstr</w:t>
            </w:r>
            <w:proofErr w:type="spellEnd"/>
            <w:r w:rsidRPr="00364A57">
              <w:rPr>
                <w:rFonts w:cs="Arial"/>
                <w:color w:val="000000"/>
                <w:sz w:val="22"/>
                <w:szCs w:val="22"/>
                <w:lang w:eastAsia="en-GB"/>
              </w:rPr>
              <w:t xml:space="preserve"> </w:t>
            </w:r>
            <w:proofErr w:type="spellStart"/>
            <w:r w:rsidRPr="00364A57">
              <w:rPr>
                <w:rFonts w:cs="Arial"/>
                <w:color w:val="000000"/>
                <w:sz w:val="22"/>
                <w:szCs w:val="22"/>
                <w:lang w:eastAsia="en-GB"/>
              </w:rPr>
              <w:t>Surg</w:t>
            </w:r>
            <w:proofErr w:type="spellEnd"/>
            <w:r w:rsidRPr="00364A57">
              <w:rPr>
                <w:rFonts w:cs="Arial"/>
                <w:color w:val="000000"/>
                <w:sz w:val="22"/>
                <w:szCs w:val="22"/>
                <w:lang w:eastAsia="en-GB"/>
              </w:rPr>
              <w:t xml:space="preserve"> 2011; 128(5):395e-402e. </w:t>
            </w:r>
          </w:p>
          <w:p w14:paraId="0FC53296"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proofErr w:type="spellStart"/>
            <w:r w:rsidRPr="00364A57">
              <w:rPr>
                <w:rFonts w:cs="Arial"/>
                <w:color w:val="000000"/>
                <w:sz w:val="22"/>
                <w:szCs w:val="22"/>
                <w:lang w:eastAsia="en-GB"/>
              </w:rPr>
              <w:t>Waisbren</w:t>
            </w:r>
            <w:proofErr w:type="spellEnd"/>
            <w:r w:rsidRPr="00364A57">
              <w:rPr>
                <w:rFonts w:cs="Arial"/>
                <w:color w:val="000000"/>
                <w:sz w:val="22"/>
                <w:szCs w:val="22"/>
                <w:lang w:eastAsia="en-GB"/>
              </w:rPr>
              <w:t xml:space="preserve"> E et al (2010). Percent body fat and predication of surgical site infection. J am </w:t>
            </w:r>
            <w:proofErr w:type="spellStart"/>
            <w:r w:rsidRPr="00364A57">
              <w:rPr>
                <w:rFonts w:cs="Arial"/>
                <w:color w:val="000000"/>
                <w:sz w:val="22"/>
                <w:szCs w:val="22"/>
                <w:lang w:eastAsia="en-GB"/>
              </w:rPr>
              <w:t>Coll</w:t>
            </w:r>
            <w:proofErr w:type="spellEnd"/>
            <w:r w:rsidRPr="00364A57">
              <w:rPr>
                <w:rFonts w:cs="Arial"/>
                <w:color w:val="000000"/>
                <w:sz w:val="22"/>
                <w:szCs w:val="22"/>
                <w:lang w:eastAsia="en-GB"/>
              </w:rPr>
              <w:t xml:space="preserve"> </w:t>
            </w:r>
            <w:proofErr w:type="spellStart"/>
            <w:r w:rsidRPr="00364A57">
              <w:rPr>
                <w:rFonts w:cs="Arial"/>
                <w:color w:val="000000"/>
                <w:sz w:val="22"/>
                <w:szCs w:val="22"/>
                <w:lang w:eastAsia="en-GB"/>
              </w:rPr>
              <w:t>Surg</w:t>
            </w:r>
            <w:proofErr w:type="spellEnd"/>
            <w:r w:rsidRPr="00364A57">
              <w:rPr>
                <w:rFonts w:cs="Arial"/>
                <w:color w:val="000000"/>
                <w:sz w:val="22"/>
                <w:szCs w:val="22"/>
                <w:lang w:eastAsia="en-GB"/>
              </w:rPr>
              <w:t xml:space="preserve"> 2010: 210(4):381-9 </w:t>
            </w:r>
          </w:p>
          <w:p w14:paraId="1B326695"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r w:rsidRPr="00364A57">
              <w:rPr>
                <w:rFonts w:cs="Arial"/>
                <w:color w:val="000000"/>
                <w:sz w:val="22"/>
                <w:szCs w:val="22"/>
                <w:lang w:eastAsia="en-GB"/>
              </w:rPr>
              <w:t xml:space="preserve">Hourigan JS (2011). Impact of obesity on surgical site infection in colon and rectal surgery. </w:t>
            </w:r>
            <w:proofErr w:type="spellStart"/>
            <w:r w:rsidRPr="00364A57">
              <w:rPr>
                <w:rFonts w:cs="Arial"/>
                <w:color w:val="000000"/>
                <w:sz w:val="22"/>
                <w:szCs w:val="22"/>
                <w:lang w:eastAsia="en-GB"/>
              </w:rPr>
              <w:t>Clin</w:t>
            </w:r>
            <w:proofErr w:type="spellEnd"/>
            <w:r w:rsidRPr="00364A57">
              <w:rPr>
                <w:rFonts w:cs="Arial"/>
                <w:color w:val="000000"/>
                <w:sz w:val="22"/>
                <w:szCs w:val="22"/>
                <w:lang w:eastAsia="en-GB"/>
              </w:rPr>
              <w:t xml:space="preserve"> Colon Rectal </w:t>
            </w:r>
            <w:proofErr w:type="spellStart"/>
            <w:r w:rsidRPr="00364A57">
              <w:rPr>
                <w:rFonts w:cs="Arial"/>
                <w:color w:val="000000"/>
                <w:sz w:val="22"/>
                <w:szCs w:val="22"/>
                <w:lang w:eastAsia="en-GB"/>
              </w:rPr>
              <w:t>Surg</w:t>
            </w:r>
            <w:proofErr w:type="spellEnd"/>
            <w:r w:rsidRPr="00364A57">
              <w:rPr>
                <w:rFonts w:cs="Arial"/>
                <w:color w:val="000000"/>
                <w:sz w:val="22"/>
                <w:szCs w:val="22"/>
                <w:lang w:eastAsia="en-GB"/>
              </w:rPr>
              <w:t xml:space="preserve"> 2011; 24(283-290 </w:t>
            </w:r>
          </w:p>
          <w:p w14:paraId="77961D8B"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r w:rsidRPr="00364A57">
              <w:rPr>
                <w:rFonts w:cs="Arial"/>
                <w:color w:val="000000"/>
                <w:sz w:val="22"/>
                <w:szCs w:val="22"/>
                <w:lang w:eastAsia="en-GB"/>
              </w:rPr>
              <w:t xml:space="preserve">Osler M et al. (2011) Body mass and risk of complications after hysterectomy on benign indications. Human Reproduction 2011; 26:1512-1518. </w:t>
            </w:r>
          </w:p>
          <w:p w14:paraId="54F85F45"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proofErr w:type="spellStart"/>
            <w:r w:rsidRPr="00364A57">
              <w:rPr>
                <w:rFonts w:cs="Arial"/>
                <w:color w:val="000000"/>
                <w:sz w:val="22"/>
                <w:szCs w:val="22"/>
                <w:lang w:eastAsia="en-GB"/>
              </w:rPr>
              <w:t>DeMaria</w:t>
            </w:r>
            <w:proofErr w:type="spellEnd"/>
            <w:r w:rsidRPr="00364A57">
              <w:rPr>
                <w:rFonts w:cs="Arial"/>
                <w:color w:val="000000"/>
                <w:sz w:val="22"/>
                <w:szCs w:val="22"/>
                <w:lang w:eastAsia="en-GB"/>
              </w:rPr>
              <w:t xml:space="preserve"> EJ, </w:t>
            </w:r>
            <w:proofErr w:type="spellStart"/>
            <w:r w:rsidRPr="00364A57">
              <w:rPr>
                <w:rFonts w:cs="Arial"/>
                <w:color w:val="000000"/>
                <w:sz w:val="22"/>
                <w:szCs w:val="22"/>
                <w:lang w:eastAsia="en-GB"/>
              </w:rPr>
              <w:t>Carmody</w:t>
            </w:r>
            <w:proofErr w:type="spellEnd"/>
            <w:r w:rsidRPr="00364A57">
              <w:rPr>
                <w:rFonts w:cs="Arial"/>
                <w:color w:val="000000"/>
                <w:sz w:val="22"/>
                <w:szCs w:val="22"/>
                <w:lang w:eastAsia="en-GB"/>
              </w:rPr>
              <w:t xml:space="preserve"> BJ. (2005) Preoperative management of special population: obesity. [Review] [31 refs]. Surgical clinics of north America 2005; 85 (6): 1283-1289. </w:t>
            </w:r>
          </w:p>
          <w:p w14:paraId="576BCAFB" w14:textId="77777777" w:rsidR="00822886" w:rsidRPr="00364A57" w:rsidRDefault="00822886" w:rsidP="00DC4794">
            <w:pPr>
              <w:numPr>
                <w:ilvl w:val="0"/>
                <w:numId w:val="25"/>
              </w:numPr>
              <w:autoSpaceDE w:val="0"/>
              <w:autoSpaceDN w:val="0"/>
              <w:adjustRightInd w:val="0"/>
              <w:spacing w:line="276" w:lineRule="auto"/>
              <w:ind w:right="-188"/>
              <w:rPr>
                <w:rFonts w:cs="Arial"/>
                <w:color w:val="000000"/>
                <w:sz w:val="22"/>
                <w:szCs w:val="22"/>
                <w:lang w:eastAsia="en-GB"/>
              </w:rPr>
            </w:pPr>
            <w:proofErr w:type="spellStart"/>
            <w:r w:rsidRPr="00364A57">
              <w:rPr>
                <w:rFonts w:cs="Arial"/>
                <w:color w:val="000000"/>
                <w:sz w:val="22"/>
                <w:szCs w:val="22"/>
                <w:lang w:eastAsia="en-GB"/>
              </w:rPr>
              <w:lastRenderedPageBreak/>
              <w:t>Elgafy</w:t>
            </w:r>
            <w:proofErr w:type="spellEnd"/>
            <w:r w:rsidRPr="00364A57">
              <w:rPr>
                <w:rFonts w:cs="Arial"/>
                <w:color w:val="000000"/>
                <w:sz w:val="22"/>
                <w:szCs w:val="22"/>
                <w:lang w:eastAsia="en-GB"/>
              </w:rPr>
              <w:t xml:space="preserve"> H et al. (2012) Challenges of spine surgery in obese patients. [Review]. American Journal of Orthopaedics 2012; 41(3): E46-E50 </w:t>
            </w:r>
          </w:p>
          <w:p w14:paraId="2137F698" w14:textId="26609886" w:rsidR="00822886" w:rsidRPr="00822886" w:rsidRDefault="00822886" w:rsidP="00DC4794">
            <w:pPr>
              <w:numPr>
                <w:ilvl w:val="0"/>
                <w:numId w:val="25"/>
              </w:numPr>
              <w:autoSpaceDE w:val="0"/>
              <w:autoSpaceDN w:val="0"/>
              <w:adjustRightInd w:val="0"/>
              <w:spacing w:after="160" w:line="276" w:lineRule="auto"/>
              <w:ind w:right="-188"/>
              <w:contextualSpacing/>
              <w:rPr>
                <w:rFonts w:eastAsia="Calibri" w:cs="Arial"/>
                <w:sz w:val="22"/>
                <w:szCs w:val="22"/>
              </w:rPr>
            </w:pPr>
            <w:r w:rsidRPr="00364A57">
              <w:rPr>
                <w:rFonts w:cs="Arial"/>
                <w:color w:val="000000"/>
                <w:sz w:val="22"/>
                <w:szCs w:val="22"/>
                <w:lang w:eastAsia="en-GB"/>
              </w:rPr>
              <w:t xml:space="preserve">Jung RT 1997, Obesity as a disease. British Medical Bulletin 53:307-21 </w:t>
            </w:r>
          </w:p>
          <w:p w14:paraId="7AFF0FAC" w14:textId="1CF987E4" w:rsidR="001F2002" w:rsidRPr="00364A57" w:rsidRDefault="001F2002" w:rsidP="007302FF">
            <w:pPr>
              <w:autoSpaceDN w:val="0"/>
              <w:spacing w:line="276" w:lineRule="auto"/>
              <w:rPr>
                <w:rFonts w:eastAsia="Calibri" w:cs="Arial"/>
                <w:sz w:val="16"/>
                <w:szCs w:val="16"/>
              </w:rPr>
            </w:pPr>
          </w:p>
        </w:tc>
      </w:tr>
      <w:tr w:rsidR="003915AC" w:rsidRPr="00E16D2E" w14:paraId="2E2E5952"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8323" w14:textId="5017157C"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lastRenderedPageBreak/>
              <w:t>Date effective from</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9A7FD" w14:textId="3D6128E7" w:rsidR="003915AC" w:rsidRPr="00364A57" w:rsidRDefault="003915AC" w:rsidP="00943886">
            <w:pPr>
              <w:spacing w:before="100" w:beforeAutospacing="1" w:after="100" w:afterAutospacing="1"/>
              <w:rPr>
                <w:rFonts w:cs="Arial"/>
                <w:b/>
                <w:sz w:val="22"/>
                <w:szCs w:val="22"/>
              </w:rPr>
            </w:pPr>
            <w:r w:rsidRPr="00364A57">
              <w:rPr>
                <w:rStyle w:val="Strong"/>
                <w:rFonts w:cs="Arial"/>
                <w:b w:val="0"/>
                <w:sz w:val="22"/>
                <w:szCs w:val="22"/>
              </w:rPr>
              <w:t xml:space="preserve">This policy was </w:t>
            </w:r>
            <w:r w:rsidR="00EE7356">
              <w:rPr>
                <w:rStyle w:val="Strong"/>
                <w:rFonts w:cs="Arial"/>
                <w:b w:val="0"/>
                <w:sz w:val="22"/>
                <w:szCs w:val="22"/>
              </w:rPr>
              <w:t xml:space="preserve">first </w:t>
            </w:r>
            <w:r w:rsidRPr="00364A57">
              <w:rPr>
                <w:rStyle w:val="Strong"/>
                <w:rFonts w:cs="Arial"/>
                <w:b w:val="0"/>
                <w:sz w:val="22"/>
                <w:szCs w:val="22"/>
              </w:rPr>
              <w:t xml:space="preserve">developed on: </w:t>
            </w:r>
            <w:r w:rsidR="00943886" w:rsidRPr="001476DA">
              <w:rPr>
                <w:rStyle w:val="Strong"/>
                <w:rFonts w:cs="Arial"/>
                <w:b w:val="0"/>
                <w:sz w:val="22"/>
                <w:szCs w:val="22"/>
              </w:rPr>
              <w:t>12.10</w:t>
            </w:r>
            <w:r w:rsidRPr="001476DA">
              <w:rPr>
                <w:rFonts w:cs="Arial"/>
                <w:sz w:val="22"/>
                <w:szCs w:val="22"/>
              </w:rPr>
              <w:t>.2017</w:t>
            </w:r>
          </w:p>
        </w:tc>
      </w:tr>
      <w:tr w:rsidR="003915AC" w:rsidRPr="00E16D2E" w14:paraId="1C99CB5D"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7269" w14:textId="77777777"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t>Date published</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F4E6" w14:textId="292D1F04" w:rsidR="003915AC" w:rsidRPr="00364A57" w:rsidRDefault="003915AC" w:rsidP="00943886">
            <w:pPr>
              <w:spacing w:before="100" w:beforeAutospacing="1" w:after="100" w:afterAutospacing="1"/>
              <w:rPr>
                <w:rFonts w:cs="Arial"/>
                <w:b/>
                <w:sz w:val="22"/>
                <w:szCs w:val="22"/>
              </w:rPr>
            </w:pPr>
            <w:r w:rsidRPr="00364A57">
              <w:rPr>
                <w:rStyle w:val="Strong"/>
                <w:rFonts w:cs="Arial"/>
                <w:b w:val="0"/>
                <w:sz w:val="22"/>
                <w:szCs w:val="22"/>
              </w:rPr>
              <w:t xml:space="preserve">Publication Date: </w:t>
            </w:r>
            <w:r w:rsidR="00EE7356">
              <w:rPr>
                <w:rFonts w:cs="Arial"/>
                <w:sz w:val="22"/>
                <w:szCs w:val="22"/>
              </w:rPr>
              <w:t>20.02.2020</w:t>
            </w:r>
          </w:p>
        </w:tc>
      </w:tr>
      <w:tr w:rsidR="003915AC" w:rsidRPr="00E16D2E" w14:paraId="70E92CD1"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5DEA" w14:textId="77777777"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t>Review date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BD83" w14:textId="1668D008" w:rsidR="003915AC" w:rsidRPr="00364A57" w:rsidRDefault="003915AC" w:rsidP="00EE7356">
            <w:pPr>
              <w:spacing w:before="100" w:beforeAutospacing="1" w:after="100" w:afterAutospacing="1"/>
              <w:rPr>
                <w:rFonts w:cs="Arial"/>
                <w:b/>
                <w:sz w:val="22"/>
                <w:szCs w:val="22"/>
              </w:rPr>
            </w:pPr>
            <w:r w:rsidRPr="00364A57">
              <w:rPr>
                <w:rStyle w:val="Strong"/>
                <w:rFonts w:cs="Arial"/>
                <w:b w:val="0"/>
                <w:sz w:val="22"/>
                <w:szCs w:val="22"/>
              </w:rPr>
              <w:t xml:space="preserve">Review Date: </w:t>
            </w:r>
            <w:r w:rsidR="00EE7356">
              <w:rPr>
                <w:rStyle w:val="Strong"/>
                <w:rFonts w:cs="Arial"/>
                <w:b w:val="0"/>
                <w:sz w:val="22"/>
                <w:szCs w:val="22"/>
              </w:rPr>
              <w:t>31.03.2022</w:t>
            </w:r>
          </w:p>
        </w:tc>
      </w:tr>
      <w:tr w:rsidR="003915AC" w:rsidRPr="00E16D2E" w14:paraId="4F43B833"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5326" w14:textId="77777777"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t>Author</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7B125" w14:textId="1EB3BC42" w:rsidR="003915AC" w:rsidRPr="00364A57" w:rsidRDefault="00943886" w:rsidP="003915AC">
            <w:pPr>
              <w:autoSpaceDN w:val="0"/>
              <w:spacing w:line="276" w:lineRule="auto"/>
              <w:rPr>
                <w:rFonts w:eastAsia="Calibri" w:cs="Arial"/>
                <w:spacing w:val="-1"/>
                <w:sz w:val="22"/>
                <w:szCs w:val="22"/>
              </w:rPr>
            </w:pPr>
            <w:r w:rsidRPr="00364A57">
              <w:rPr>
                <w:rFonts w:eastAsia="Calibri" w:cs="Arial"/>
                <w:spacing w:val="-1"/>
                <w:sz w:val="22"/>
                <w:szCs w:val="22"/>
              </w:rPr>
              <w:t>Julie Frampton/Mike Simms</w:t>
            </w:r>
          </w:p>
        </w:tc>
      </w:tr>
      <w:tr w:rsidR="003915AC" w:rsidRPr="00E16D2E" w14:paraId="1BACB707"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5B9C" w14:textId="77777777"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t>Clinical Reviewers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82F1" w14:textId="1E190791" w:rsidR="003915AC" w:rsidRPr="00364A57" w:rsidRDefault="00943886" w:rsidP="00943886">
            <w:pPr>
              <w:autoSpaceDN w:val="0"/>
              <w:spacing w:line="276" w:lineRule="auto"/>
              <w:rPr>
                <w:rFonts w:eastAsia="Calibri" w:cs="Arial"/>
                <w:spacing w:val="-1"/>
                <w:sz w:val="22"/>
                <w:szCs w:val="22"/>
              </w:rPr>
            </w:pPr>
            <w:r w:rsidRPr="00364A57">
              <w:rPr>
                <w:rFonts w:eastAsia="Calibri" w:cs="Arial"/>
                <w:spacing w:val="-1"/>
                <w:sz w:val="22"/>
                <w:szCs w:val="22"/>
              </w:rPr>
              <w:t>Clinical Forum Members</w:t>
            </w:r>
          </w:p>
          <w:p w14:paraId="000D5CC6" w14:textId="4A9A8405" w:rsidR="00943886" w:rsidRPr="00364A57" w:rsidRDefault="00943886" w:rsidP="00943886">
            <w:pPr>
              <w:autoSpaceDN w:val="0"/>
              <w:spacing w:line="276" w:lineRule="auto"/>
              <w:rPr>
                <w:rFonts w:eastAsia="Calibri" w:cs="Arial"/>
                <w:spacing w:val="-1"/>
                <w:sz w:val="22"/>
                <w:szCs w:val="22"/>
              </w:rPr>
            </w:pPr>
          </w:p>
        </w:tc>
      </w:tr>
      <w:tr w:rsidR="003915AC" w:rsidRPr="00E16D2E" w14:paraId="7A67AA56" w14:textId="77777777" w:rsidTr="00364A57">
        <w:trPr>
          <w:trHeight w:val="73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49A1" w14:textId="77777777"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t>Approved by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C700" w14:textId="5768BB9E" w:rsidR="00943886" w:rsidRPr="00364A57" w:rsidRDefault="003915AC" w:rsidP="00943886">
            <w:pPr>
              <w:rPr>
                <w:rStyle w:val="Strong"/>
                <w:rFonts w:cs="Arial"/>
                <w:b w:val="0"/>
                <w:sz w:val="22"/>
                <w:szCs w:val="22"/>
              </w:rPr>
            </w:pPr>
            <w:r w:rsidRPr="00364A57">
              <w:rPr>
                <w:rStyle w:val="Strong"/>
                <w:rFonts w:cs="Arial"/>
                <w:b w:val="0"/>
                <w:sz w:val="22"/>
                <w:szCs w:val="22"/>
              </w:rPr>
              <w:t xml:space="preserve">This policy was approved by: </w:t>
            </w:r>
            <w:r w:rsidR="00E51566">
              <w:rPr>
                <w:rStyle w:val="Strong"/>
                <w:rFonts w:cs="Arial"/>
                <w:b w:val="0"/>
                <w:sz w:val="22"/>
                <w:szCs w:val="22"/>
              </w:rPr>
              <w:t>NHS Barnsley CCG Governing Body</w:t>
            </w:r>
          </w:p>
          <w:p w14:paraId="42BEDCE4" w14:textId="77777777" w:rsidR="003915AC" w:rsidRDefault="003915AC" w:rsidP="00C358CB">
            <w:pPr>
              <w:rPr>
                <w:rFonts w:cs="Arial"/>
                <w:sz w:val="22"/>
                <w:szCs w:val="22"/>
              </w:rPr>
            </w:pPr>
            <w:r w:rsidRPr="00364A57">
              <w:rPr>
                <w:rStyle w:val="Strong"/>
                <w:rFonts w:cs="Arial"/>
                <w:b w:val="0"/>
                <w:sz w:val="22"/>
                <w:szCs w:val="22"/>
              </w:rPr>
              <w:t xml:space="preserve">Date approved: </w:t>
            </w:r>
            <w:r w:rsidR="00C358CB">
              <w:rPr>
                <w:rStyle w:val="Strong"/>
                <w:rFonts w:cs="Arial"/>
                <w:b w:val="0"/>
                <w:sz w:val="22"/>
                <w:szCs w:val="22"/>
              </w:rPr>
              <w:t>14.12</w:t>
            </w:r>
            <w:r w:rsidR="00846000" w:rsidRPr="00364A57">
              <w:rPr>
                <w:rStyle w:val="Strong"/>
                <w:rFonts w:cs="Arial"/>
                <w:b w:val="0"/>
                <w:sz w:val="22"/>
                <w:szCs w:val="22"/>
              </w:rPr>
              <w:t>.</w:t>
            </w:r>
            <w:r w:rsidRPr="00364A57">
              <w:rPr>
                <w:rFonts w:cs="Arial"/>
                <w:sz w:val="22"/>
                <w:szCs w:val="22"/>
              </w:rPr>
              <w:t>2017</w:t>
            </w:r>
          </w:p>
          <w:p w14:paraId="2F2D01AD" w14:textId="77777777" w:rsidR="00EE7356" w:rsidRDefault="00EE7356" w:rsidP="00C358CB">
            <w:pPr>
              <w:rPr>
                <w:rFonts w:cs="Arial"/>
                <w:sz w:val="22"/>
                <w:szCs w:val="22"/>
              </w:rPr>
            </w:pPr>
          </w:p>
          <w:p w14:paraId="672465F1" w14:textId="6CA6246F" w:rsidR="00EE7356" w:rsidRPr="00364A57" w:rsidRDefault="00EE7356" w:rsidP="00C358CB">
            <w:pPr>
              <w:rPr>
                <w:rFonts w:cs="Arial"/>
                <w:b/>
                <w:sz w:val="22"/>
                <w:szCs w:val="22"/>
              </w:rPr>
            </w:pPr>
            <w:r>
              <w:rPr>
                <w:rFonts w:cs="Arial"/>
                <w:sz w:val="22"/>
                <w:szCs w:val="22"/>
              </w:rPr>
              <w:t>Amendments approved by Quality and Patient Safety Committee on 20.02.2020</w:t>
            </w:r>
          </w:p>
        </w:tc>
      </w:tr>
      <w:tr w:rsidR="003915AC" w:rsidRPr="00E16D2E" w14:paraId="05EDCAE7" w14:textId="77777777" w:rsidTr="00364A5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92A2" w14:textId="77777777"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t>Responsible Officer</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588C" w14:textId="258E5552" w:rsidR="003915AC" w:rsidRPr="00364A57" w:rsidRDefault="00C358CB" w:rsidP="003915AC">
            <w:pPr>
              <w:autoSpaceDN w:val="0"/>
              <w:spacing w:line="276" w:lineRule="auto"/>
              <w:rPr>
                <w:rFonts w:eastAsia="Calibri" w:cs="Arial"/>
                <w:spacing w:val="-1"/>
                <w:sz w:val="22"/>
                <w:szCs w:val="22"/>
              </w:rPr>
            </w:pPr>
            <w:r>
              <w:rPr>
                <w:rFonts w:eastAsia="Calibri" w:cs="Arial"/>
                <w:spacing w:val="-1"/>
                <w:sz w:val="22"/>
                <w:szCs w:val="22"/>
              </w:rPr>
              <w:t xml:space="preserve">David Lautman - </w:t>
            </w:r>
            <w:r w:rsidRPr="00C358CB">
              <w:rPr>
                <w:rFonts w:eastAsia="Calibri" w:cs="Arial"/>
                <w:spacing w:val="-1"/>
                <w:sz w:val="22"/>
                <w:szCs w:val="22"/>
              </w:rPr>
              <w:t xml:space="preserve">Lead Commissioning and Transformation Manager                                                                                    </w:t>
            </w:r>
          </w:p>
        </w:tc>
      </w:tr>
      <w:tr w:rsidR="003915AC" w:rsidRPr="00E16D2E" w14:paraId="47E9A4F7" w14:textId="77777777" w:rsidTr="00364A57">
        <w:trPr>
          <w:trHeight w:val="1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C3CE" w14:textId="77777777" w:rsidR="003915AC" w:rsidRPr="00364A57" w:rsidRDefault="003915AC" w:rsidP="003915AC">
            <w:pPr>
              <w:suppressAutoHyphens/>
              <w:autoSpaceDN w:val="0"/>
              <w:spacing w:line="276" w:lineRule="auto"/>
              <w:textAlignment w:val="baseline"/>
              <w:rPr>
                <w:rFonts w:eastAsia="Calibri" w:cs="Arial"/>
                <w:b/>
                <w:sz w:val="22"/>
                <w:szCs w:val="22"/>
              </w:rPr>
            </w:pPr>
            <w:r w:rsidRPr="00364A57">
              <w:rPr>
                <w:rFonts w:eastAsia="Calibri" w:cs="Arial"/>
                <w:b/>
                <w:sz w:val="22"/>
                <w:szCs w:val="22"/>
              </w:rPr>
              <w:t>Reference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B7CC" w14:textId="77777777" w:rsidR="00846000" w:rsidRPr="00364A57" w:rsidRDefault="003915AC" w:rsidP="00846000">
            <w:pPr>
              <w:pStyle w:val="NoSpacing"/>
              <w:rPr>
                <w:rStyle w:val="Strong"/>
                <w:rFonts w:cs="Arial"/>
                <w:b w:val="0"/>
                <w:sz w:val="22"/>
                <w:szCs w:val="22"/>
              </w:rPr>
            </w:pPr>
            <w:r w:rsidRPr="00364A57">
              <w:rPr>
                <w:rStyle w:val="Strong"/>
                <w:rFonts w:cs="Arial"/>
                <w:b w:val="0"/>
                <w:sz w:val="22"/>
                <w:szCs w:val="22"/>
              </w:rPr>
              <w:t xml:space="preserve">Ref No: </w:t>
            </w:r>
          </w:p>
          <w:p w14:paraId="386857CA" w14:textId="77777777" w:rsidR="00846000" w:rsidRPr="00364A57" w:rsidRDefault="00846000" w:rsidP="00846000">
            <w:pPr>
              <w:pStyle w:val="NoSpacing"/>
              <w:rPr>
                <w:rStyle w:val="Strong"/>
                <w:rFonts w:cs="Arial"/>
                <w:b w:val="0"/>
                <w:sz w:val="22"/>
                <w:szCs w:val="22"/>
              </w:rPr>
            </w:pPr>
          </w:p>
          <w:p w14:paraId="0553CD3F" w14:textId="77777777" w:rsidR="00846000" w:rsidRDefault="003915AC" w:rsidP="00846000">
            <w:pPr>
              <w:pStyle w:val="NoSpacing"/>
              <w:rPr>
                <w:rFonts w:cs="Arial"/>
                <w:sz w:val="22"/>
                <w:szCs w:val="22"/>
              </w:rPr>
            </w:pPr>
            <w:r w:rsidRPr="00364A57">
              <w:rPr>
                <w:rFonts w:cs="Arial"/>
                <w:sz w:val="22"/>
                <w:szCs w:val="22"/>
              </w:rPr>
              <w:t xml:space="preserve">Any feedback or suggestions to improve this guidance should be sent to: </w:t>
            </w:r>
          </w:p>
          <w:p w14:paraId="68C30670" w14:textId="77777777" w:rsidR="00C358CB" w:rsidRPr="00364A57" w:rsidRDefault="00C358CB" w:rsidP="00846000">
            <w:pPr>
              <w:pStyle w:val="NoSpacing"/>
              <w:rPr>
                <w:rFonts w:cs="Arial"/>
                <w:sz w:val="22"/>
                <w:szCs w:val="22"/>
              </w:rPr>
            </w:pPr>
          </w:p>
          <w:p w14:paraId="39CE3F8A" w14:textId="1C9DB204" w:rsidR="00846000" w:rsidRDefault="00C358CB" w:rsidP="00846000">
            <w:pPr>
              <w:pStyle w:val="NoSpacing"/>
              <w:rPr>
                <w:rFonts w:cs="Arial"/>
                <w:sz w:val="22"/>
                <w:szCs w:val="22"/>
              </w:rPr>
            </w:pPr>
            <w:r w:rsidRPr="00C358CB">
              <w:rPr>
                <w:rFonts w:cs="Arial"/>
                <w:sz w:val="22"/>
                <w:szCs w:val="22"/>
              </w:rPr>
              <w:t xml:space="preserve">David Lautman - Lead Commissioning and Transformation Manager                                                                                    </w:t>
            </w:r>
          </w:p>
          <w:p w14:paraId="0CEAA719" w14:textId="77777777" w:rsidR="00364A57" w:rsidRPr="00364A57" w:rsidRDefault="00364A57" w:rsidP="00846000">
            <w:pPr>
              <w:pStyle w:val="NoSpacing"/>
              <w:rPr>
                <w:rFonts w:cs="Arial"/>
                <w:sz w:val="22"/>
                <w:szCs w:val="22"/>
              </w:rPr>
            </w:pPr>
          </w:p>
          <w:p w14:paraId="3DA040FB" w14:textId="13B7C31C" w:rsidR="00846000" w:rsidRPr="00364A57" w:rsidRDefault="003915AC" w:rsidP="00C358CB">
            <w:pPr>
              <w:pStyle w:val="NoSpacing"/>
              <w:rPr>
                <w:rFonts w:cs="Arial"/>
                <w:b/>
                <w:sz w:val="22"/>
                <w:szCs w:val="22"/>
              </w:rPr>
            </w:pPr>
            <w:r w:rsidRPr="00364A57">
              <w:rPr>
                <w:rFonts w:cs="Arial"/>
                <w:sz w:val="22"/>
                <w:szCs w:val="22"/>
              </w:rPr>
              <w:t>Only the electronic version is maintained, once printed this is no longer a controlled document</w:t>
            </w:r>
            <w:r w:rsidR="00C358CB">
              <w:rPr>
                <w:rFonts w:cs="Arial"/>
                <w:sz w:val="22"/>
                <w:szCs w:val="22"/>
              </w:rPr>
              <w:t>.</w:t>
            </w:r>
          </w:p>
        </w:tc>
      </w:tr>
      <w:bookmarkEnd w:id="1"/>
    </w:tbl>
    <w:p w14:paraId="5BD4FDD9" w14:textId="77777777" w:rsidR="001F2002" w:rsidRDefault="001F2002">
      <w:pPr>
        <w:rPr>
          <w:rFonts w:cs="Arial"/>
        </w:rPr>
      </w:pPr>
    </w:p>
    <w:p w14:paraId="4B9C5B88" w14:textId="77777777" w:rsidR="00DC4794" w:rsidRDefault="00DC4794">
      <w:pPr>
        <w:rPr>
          <w:rFonts w:cs="Arial"/>
        </w:rPr>
      </w:pPr>
    </w:p>
    <w:p w14:paraId="487054CF" w14:textId="77777777" w:rsidR="00DC4794" w:rsidRDefault="00DC4794">
      <w:pPr>
        <w:rPr>
          <w:rFonts w:cs="Arial"/>
        </w:rPr>
      </w:pPr>
    </w:p>
    <w:p w14:paraId="18727254" w14:textId="77777777" w:rsidR="00DC4794" w:rsidRDefault="00DC4794">
      <w:pPr>
        <w:rPr>
          <w:rFonts w:cs="Arial"/>
        </w:rPr>
      </w:pPr>
    </w:p>
    <w:p w14:paraId="7998ADEB" w14:textId="77777777" w:rsidR="00DC4794" w:rsidRDefault="00DC4794">
      <w:pPr>
        <w:rPr>
          <w:rFonts w:cs="Arial"/>
        </w:rPr>
      </w:pPr>
    </w:p>
    <w:p w14:paraId="5E4B05FA" w14:textId="77777777" w:rsidR="00EE7356" w:rsidRDefault="00EE7356">
      <w:pPr>
        <w:spacing w:after="160" w:line="259" w:lineRule="auto"/>
        <w:rPr>
          <w:rFonts w:cs="Arial"/>
        </w:rPr>
      </w:pPr>
      <w:r>
        <w:rPr>
          <w:rFonts w:cs="Arial"/>
        </w:rPr>
        <w:br w:type="page"/>
      </w:r>
    </w:p>
    <w:p w14:paraId="3DEFF859" w14:textId="7F312C12" w:rsidR="00DC4794" w:rsidRDefault="00DC4794">
      <w:pPr>
        <w:rPr>
          <w:rFonts w:cs="Arial"/>
        </w:rPr>
      </w:pPr>
      <w:r>
        <w:rPr>
          <w:rFonts w:cs="Arial"/>
        </w:rPr>
        <w:lastRenderedPageBreak/>
        <w:t>Appendix 1</w:t>
      </w:r>
      <w:r w:rsidR="00EE7356">
        <w:rPr>
          <w:rFonts w:cs="Arial"/>
        </w:rPr>
        <w:t xml:space="preserve"> (v2.0)</w:t>
      </w:r>
    </w:p>
    <w:p w14:paraId="27AC0F04" w14:textId="77777777" w:rsidR="00DC4794" w:rsidRPr="00DC4794" w:rsidRDefault="00DC4794">
      <w:pPr>
        <w:rPr>
          <w:rFonts w:cs="Arial"/>
          <w:sz w:val="16"/>
          <w:szCs w:val="16"/>
        </w:rPr>
      </w:pPr>
    </w:p>
    <w:p w14:paraId="2E32717B" w14:textId="77777777" w:rsidR="00DC4794" w:rsidRPr="00DC4794" w:rsidRDefault="00DC4794" w:rsidP="00DC4794">
      <w:pPr>
        <w:widowControl w:val="0"/>
        <w:rPr>
          <w:rFonts w:cs="Arial"/>
          <w:b/>
          <w:sz w:val="22"/>
          <w:szCs w:val="22"/>
          <w:u w:val="single"/>
          <w:lang w:val="en-US"/>
        </w:rPr>
      </w:pPr>
      <w:r w:rsidRPr="00DC4794">
        <w:rPr>
          <w:rFonts w:cs="Arial"/>
          <w:b/>
          <w:sz w:val="22"/>
          <w:szCs w:val="22"/>
          <w:u w:val="single"/>
          <w:lang w:val="en-US"/>
        </w:rPr>
        <w:t xml:space="preserve">Exclusion criteria for </w:t>
      </w:r>
      <w:proofErr w:type="spellStart"/>
      <w:r w:rsidRPr="00DC4794">
        <w:rPr>
          <w:rFonts w:cs="Arial"/>
          <w:b/>
          <w:sz w:val="22"/>
          <w:szCs w:val="22"/>
          <w:u w:val="single"/>
          <w:lang w:val="en-US"/>
        </w:rPr>
        <w:t>Optimising</w:t>
      </w:r>
      <w:proofErr w:type="spellEnd"/>
      <w:r w:rsidRPr="00DC4794">
        <w:rPr>
          <w:rFonts w:cs="Arial"/>
          <w:b/>
          <w:sz w:val="22"/>
          <w:szCs w:val="22"/>
          <w:u w:val="single"/>
          <w:lang w:val="en-US"/>
        </w:rPr>
        <w:t xml:space="preserve"> Outcomes from all Elective Surgery </w:t>
      </w:r>
    </w:p>
    <w:p w14:paraId="60385778" w14:textId="77777777" w:rsidR="00DC4794" w:rsidRPr="00DC4794" w:rsidRDefault="00DC4794" w:rsidP="00DC4794">
      <w:pPr>
        <w:widowControl w:val="0"/>
        <w:rPr>
          <w:rFonts w:cs="Arial"/>
          <w:sz w:val="22"/>
          <w:szCs w:val="22"/>
          <w:lang w:val="en-US"/>
        </w:rPr>
      </w:pPr>
    </w:p>
    <w:p w14:paraId="292C57F5" w14:textId="4F40DEA9" w:rsidR="00EE7356" w:rsidRDefault="00EE7356" w:rsidP="00DC4794">
      <w:pPr>
        <w:widowControl w:val="0"/>
        <w:spacing w:line="276" w:lineRule="auto"/>
        <w:rPr>
          <w:rFonts w:cs="Arial"/>
          <w:sz w:val="22"/>
          <w:szCs w:val="22"/>
          <w:lang w:val="en-US"/>
        </w:rPr>
      </w:pPr>
      <w:r>
        <w:rPr>
          <w:rFonts w:cs="Arial"/>
          <w:sz w:val="22"/>
          <w:szCs w:val="22"/>
          <w:lang w:val="en-US"/>
        </w:rPr>
        <w:t>The Get Fit First policy does not apply to non-elective referrals or urgent referrals.</w:t>
      </w:r>
    </w:p>
    <w:p w14:paraId="5753BDCE" w14:textId="77777777" w:rsidR="00EE7356" w:rsidRDefault="00EE7356" w:rsidP="00DC4794">
      <w:pPr>
        <w:widowControl w:val="0"/>
        <w:spacing w:line="276" w:lineRule="auto"/>
        <w:rPr>
          <w:rFonts w:cs="Arial"/>
          <w:sz w:val="22"/>
          <w:szCs w:val="22"/>
          <w:lang w:val="en-US"/>
        </w:rPr>
      </w:pPr>
    </w:p>
    <w:p w14:paraId="5D47DF87" w14:textId="77777777" w:rsidR="00EE7356" w:rsidRPr="00DC4794" w:rsidRDefault="00EE7356" w:rsidP="00EE7356">
      <w:pPr>
        <w:widowControl w:val="0"/>
        <w:spacing w:line="276" w:lineRule="auto"/>
        <w:rPr>
          <w:rFonts w:cs="Arial"/>
          <w:sz w:val="22"/>
          <w:szCs w:val="22"/>
          <w:lang w:val="en-US"/>
        </w:rPr>
      </w:pPr>
      <w:r>
        <w:rPr>
          <w:rFonts w:cs="Arial"/>
          <w:sz w:val="22"/>
          <w:szCs w:val="22"/>
          <w:lang w:val="en-US"/>
        </w:rPr>
        <w:t>E</w:t>
      </w:r>
      <w:r w:rsidRPr="00546F5B">
        <w:rPr>
          <w:rFonts w:cs="Arial"/>
          <w:sz w:val="22"/>
          <w:szCs w:val="22"/>
          <w:lang w:val="en-US"/>
        </w:rPr>
        <w:t>xclusions apply</w:t>
      </w:r>
      <w:r>
        <w:rPr>
          <w:rFonts w:cs="Arial"/>
          <w:sz w:val="22"/>
          <w:szCs w:val="22"/>
          <w:lang w:val="en-US"/>
        </w:rPr>
        <w:t xml:space="preserve"> to routine elective referrals </w:t>
      </w:r>
      <w:r w:rsidRPr="00546F5B">
        <w:rPr>
          <w:rFonts w:cs="Arial"/>
          <w:sz w:val="22"/>
          <w:szCs w:val="22"/>
          <w:lang w:val="en-US"/>
        </w:rPr>
        <w:t xml:space="preserve">if </w:t>
      </w:r>
      <w:r>
        <w:rPr>
          <w:rFonts w:cs="Arial"/>
          <w:sz w:val="22"/>
          <w:szCs w:val="22"/>
          <w:lang w:val="en-US"/>
        </w:rPr>
        <w:t xml:space="preserve">a period of </w:t>
      </w:r>
      <w:r w:rsidRPr="00546F5B">
        <w:rPr>
          <w:rFonts w:cs="Arial"/>
          <w:sz w:val="22"/>
          <w:szCs w:val="22"/>
          <w:lang w:val="en-US"/>
        </w:rPr>
        <w:t>health improvement delay would cause clinical risk rather than support improved outcomes</w:t>
      </w:r>
      <w:r>
        <w:rPr>
          <w:rFonts w:cs="Arial"/>
          <w:sz w:val="22"/>
          <w:szCs w:val="22"/>
          <w:lang w:val="en-US"/>
        </w:rPr>
        <w:t>. A</w:t>
      </w:r>
      <w:r w:rsidRPr="00DC4794">
        <w:rPr>
          <w:rFonts w:cs="Arial"/>
          <w:sz w:val="22"/>
          <w:szCs w:val="22"/>
          <w:lang w:val="en-US"/>
        </w:rPr>
        <w:t xml:space="preserve">ll patients </w:t>
      </w:r>
      <w:r>
        <w:rPr>
          <w:rFonts w:cs="Arial"/>
          <w:sz w:val="22"/>
          <w:szCs w:val="22"/>
          <w:lang w:val="en-US"/>
        </w:rPr>
        <w:t xml:space="preserve">on an elective pathway </w:t>
      </w:r>
      <w:r w:rsidRPr="00DC4794">
        <w:rPr>
          <w:rFonts w:cs="Arial"/>
          <w:sz w:val="22"/>
          <w:szCs w:val="22"/>
          <w:lang w:val="en-US"/>
        </w:rPr>
        <w:t xml:space="preserve">must be offered access to smoking cessation and/or weight management concurrently </w:t>
      </w:r>
    </w:p>
    <w:p w14:paraId="1954623F" w14:textId="77777777" w:rsidR="00DC4794" w:rsidRPr="00DC4794" w:rsidRDefault="00DC4794" w:rsidP="00DC4794">
      <w:pPr>
        <w:widowControl w:val="0"/>
        <w:spacing w:line="276" w:lineRule="auto"/>
        <w:rPr>
          <w:rFonts w:cs="Arial"/>
          <w:sz w:val="16"/>
          <w:szCs w:val="16"/>
          <w:lang w:val="en-US"/>
        </w:rPr>
      </w:pPr>
    </w:p>
    <w:p w14:paraId="5549BC90" w14:textId="77777777" w:rsidR="00DC4794" w:rsidRPr="00DC4794" w:rsidRDefault="00DC4794" w:rsidP="00DC4794">
      <w:pPr>
        <w:widowControl w:val="0"/>
        <w:spacing w:line="276" w:lineRule="auto"/>
        <w:rPr>
          <w:rFonts w:cs="Arial"/>
          <w:sz w:val="22"/>
          <w:szCs w:val="22"/>
          <w:lang w:val="en-US"/>
        </w:rPr>
      </w:pPr>
      <w:r w:rsidRPr="00DC4794">
        <w:rPr>
          <w:rFonts w:cs="Arial"/>
          <w:sz w:val="22"/>
          <w:szCs w:val="22"/>
          <w:lang w:val="en-US"/>
        </w:rPr>
        <w:t>Exclusions include:</w:t>
      </w:r>
    </w:p>
    <w:p w14:paraId="08D3CA91" w14:textId="77777777" w:rsidR="00DC4794" w:rsidRPr="00DC4794" w:rsidRDefault="00DC4794" w:rsidP="00DC4794">
      <w:pPr>
        <w:widowControl w:val="0"/>
        <w:spacing w:line="276" w:lineRule="auto"/>
        <w:rPr>
          <w:rFonts w:cs="Arial"/>
          <w:sz w:val="16"/>
          <w:szCs w:val="16"/>
          <w:lang w:val="en-US"/>
        </w:rPr>
      </w:pPr>
    </w:p>
    <w:p w14:paraId="10D6168E" w14:textId="77777777" w:rsidR="00DC4794" w:rsidRPr="00DC4794" w:rsidRDefault="00DC4794" w:rsidP="00DC4794">
      <w:pPr>
        <w:widowControl w:val="0"/>
        <w:numPr>
          <w:ilvl w:val="0"/>
          <w:numId w:val="34"/>
        </w:numPr>
        <w:spacing w:line="276" w:lineRule="auto"/>
        <w:ind w:left="1134" w:hanging="567"/>
        <w:rPr>
          <w:rFonts w:cs="Arial"/>
          <w:sz w:val="22"/>
          <w:szCs w:val="22"/>
          <w:lang w:val="en-US" w:eastAsia="ja-JP"/>
        </w:rPr>
      </w:pPr>
      <w:r w:rsidRPr="00DC4794">
        <w:rPr>
          <w:rFonts w:cs="Arial"/>
          <w:sz w:val="22"/>
          <w:szCs w:val="22"/>
          <w:lang w:val="en-US" w:eastAsia="ja-JP"/>
        </w:rPr>
        <w:t>Cholecystectomy</w:t>
      </w:r>
    </w:p>
    <w:p w14:paraId="002BF2C6" w14:textId="77777777" w:rsidR="00DC4794" w:rsidRPr="00DC4794" w:rsidRDefault="00DC4794" w:rsidP="00DC4794">
      <w:pPr>
        <w:widowControl w:val="0"/>
        <w:numPr>
          <w:ilvl w:val="0"/>
          <w:numId w:val="34"/>
        </w:numPr>
        <w:spacing w:line="276" w:lineRule="auto"/>
        <w:ind w:left="1134" w:hanging="567"/>
        <w:rPr>
          <w:rFonts w:cs="Arial"/>
          <w:sz w:val="22"/>
          <w:szCs w:val="22"/>
          <w:lang w:val="en-US" w:eastAsia="ja-JP"/>
        </w:rPr>
      </w:pPr>
      <w:r w:rsidRPr="00DC4794">
        <w:rPr>
          <w:rFonts w:cs="Arial"/>
          <w:sz w:val="22"/>
          <w:szCs w:val="22"/>
          <w:lang w:val="en-US" w:eastAsia="ja-JP"/>
        </w:rPr>
        <w:t>Surgery for arterial disease</w:t>
      </w:r>
    </w:p>
    <w:p w14:paraId="310D3759" w14:textId="77777777" w:rsidR="00DC4794" w:rsidRPr="00DC4794" w:rsidRDefault="00DC4794" w:rsidP="00DC4794">
      <w:pPr>
        <w:widowControl w:val="0"/>
        <w:numPr>
          <w:ilvl w:val="0"/>
          <w:numId w:val="34"/>
        </w:numPr>
        <w:spacing w:line="276" w:lineRule="auto"/>
        <w:ind w:left="1134" w:hanging="567"/>
        <w:rPr>
          <w:rFonts w:cs="Arial"/>
          <w:sz w:val="22"/>
          <w:szCs w:val="22"/>
          <w:lang w:val="en-US" w:eastAsia="ja-JP"/>
        </w:rPr>
      </w:pPr>
      <w:r w:rsidRPr="00DC4794">
        <w:rPr>
          <w:rFonts w:cs="Arial"/>
          <w:sz w:val="22"/>
          <w:szCs w:val="22"/>
          <w:lang w:val="en-US" w:eastAsia="ja-JP"/>
        </w:rPr>
        <w:t>Anal fissure</w:t>
      </w:r>
    </w:p>
    <w:p w14:paraId="63112B9F" w14:textId="77777777" w:rsidR="00DC4794" w:rsidRPr="00DC4794" w:rsidRDefault="00DC4794" w:rsidP="00DC4794">
      <w:pPr>
        <w:widowControl w:val="0"/>
        <w:numPr>
          <w:ilvl w:val="0"/>
          <w:numId w:val="34"/>
        </w:numPr>
        <w:spacing w:line="276" w:lineRule="auto"/>
        <w:ind w:left="1134" w:hanging="567"/>
        <w:rPr>
          <w:rFonts w:cs="Arial"/>
          <w:sz w:val="22"/>
          <w:szCs w:val="22"/>
          <w:lang w:val="en-US" w:eastAsia="ja-JP"/>
        </w:rPr>
      </w:pPr>
      <w:r w:rsidRPr="00DC4794">
        <w:rPr>
          <w:rFonts w:cs="Arial"/>
          <w:sz w:val="22"/>
          <w:szCs w:val="22"/>
          <w:lang w:val="en-US" w:eastAsia="ja-JP"/>
        </w:rPr>
        <w:t>Hernias that are at high risk of obstruction</w:t>
      </w:r>
    </w:p>
    <w:p w14:paraId="24C35645" w14:textId="77777777" w:rsidR="00DC4794" w:rsidRPr="00DC4794" w:rsidRDefault="00DC4794" w:rsidP="00DC4794">
      <w:pPr>
        <w:widowControl w:val="0"/>
        <w:numPr>
          <w:ilvl w:val="0"/>
          <w:numId w:val="34"/>
        </w:numPr>
        <w:spacing w:line="276" w:lineRule="auto"/>
        <w:ind w:left="1134" w:hanging="567"/>
        <w:rPr>
          <w:rFonts w:cs="Arial"/>
          <w:sz w:val="22"/>
          <w:szCs w:val="22"/>
          <w:lang w:val="en-US" w:eastAsia="ja-JP"/>
        </w:rPr>
      </w:pPr>
      <w:r w:rsidRPr="00DC4794">
        <w:rPr>
          <w:rFonts w:cs="Arial"/>
          <w:sz w:val="22"/>
          <w:szCs w:val="22"/>
          <w:lang w:val="en-US" w:eastAsia="ja-JP"/>
        </w:rPr>
        <w:t>Anal fistula surgery</w:t>
      </w:r>
    </w:p>
    <w:p w14:paraId="74D150EE" w14:textId="77777777" w:rsidR="00DC4794" w:rsidRPr="00DC4794" w:rsidRDefault="00DC4794" w:rsidP="00DC4794">
      <w:pPr>
        <w:widowControl w:val="0"/>
        <w:numPr>
          <w:ilvl w:val="0"/>
          <w:numId w:val="34"/>
        </w:numPr>
        <w:spacing w:line="276" w:lineRule="auto"/>
        <w:ind w:left="1134" w:hanging="567"/>
        <w:rPr>
          <w:rFonts w:eastAsia="Calibri" w:cs="Arial"/>
          <w:sz w:val="22"/>
          <w:szCs w:val="22"/>
        </w:rPr>
      </w:pPr>
      <w:r w:rsidRPr="00DC4794">
        <w:rPr>
          <w:rFonts w:eastAsia="Calibri" w:cs="Arial"/>
          <w:sz w:val="22"/>
          <w:szCs w:val="22"/>
        </w:rPr>
        <w:t xml:space="preserve">Revision hip surgery which is clinically urgent AND where delay could lead to significant deterioration/acute hospital admission. Includes infection, recurrent dislocations, impending </w:t>
      </w:r>
      <w:proofErr w:type="spellStart"/>
      <w:r w:rsidRPr="00DC4794">
        <w:rPr>
          <w:rFonts w:eastAsia="Calibri" w:cs="Arial"/>
          <w:sz w:val="22"/>
          <w:szCs w:val="22"/>
        </w:rPr>
        <w:t>peri</w:t>
      </w:r>
      <w:proofErr w:type="spellEnd"/>
      <w:r w:rsidRPr="00DC4794">
        <w:rPr>
          <w:rFonts w:eastAsia="Calibri" w:cs="Arial"/>
          <w:sz w:val="22"/>
          <w:szCs w:val="22"/>
        </w:rPr>
        <w:t xml:space="preserve">-prosthetic fracture, and gross implant loosening or implant migration. </w:t>
      </w:r>
    </w:p>
    <w:p w14:paraId="1D1ABFB0" w14:textId="77777777" w:rsidR="00DC4794" w:rsidRPr="00DC4794" w:rsidRDefault="00DC4794" w:rsidP="00DC4794">
      <w:pPr>
        <w:widowControl w:val="0"/>
        <w:numPr>
          <w:ilvl w:val="0"/>
          <w:numId w:val="34"/>
        </w:numPr>
        <w:spacing w:line="276" w:lineRule="auto"/>
        <w:ind w:left="1134" w:hanging="567"/>
        <w:rPr>
          <w:rFonts w:eastAsia="Calibri" w:cs="Arial"/>
          <w:sz w:val="22"/>
          <w:szCs w:val="22"/>
        </w:rPr>
      </w:pPr>
      <w:r w:rsidRPr="00DC4794">
        <w:rPr>
          <w:rFonts w:eastAsia="Calibri" w:cs="Arial"/>
          <w:sz w:val="22"/>
          <w:szCs w:val="22"/>
        </w:rPr>
        <w:t xml:space="preserve">Revision knee surgery which is clinically urgent AND where delay could lead to significant deterioration/acute hospital admission. Includes infection, impending </w:t>
      </w:r>
      <w:proofErr w:type="spellStart"/>
      <w:r w:rsidRPr="00DC4794">
        <w:rPr>
          <w:rFonts w:eastAsia="Calibri" w:cs="Arial"/>
          <w:sz w:val="22"/>
          <w:szCs w:val="22"/>
        </w:rPr>
        <w:t>peri</w:t>
      </w:r>
      <w:proofErr w:type="spellEnd"/>
      <w:r w:rsidRPr="00DC4794">
        <w:rPr>
          <w:rFonts w:eastAsia="Calibri" w:cs="Arial"/>
          <w:sz w:val="22"/>
          <w:szCs w:val="22"/>
        </w:rPr>
        <w:t xml:space="preserve">-prosthetic fracture, gross implant loosening/migration, severe ligamentous instability.          </w:t>
      </w:r>
    </w:p>
    <w:p w14:paraId="5EEA14C4" w14:textId="77777777" w:rsidR="00DC4794" w:rsidRPr="00DC4794" w:rsidRDefault="00DC4794" w:rsidP="00DC4794">
      <w:pPr>
        <w:widowControl w:val="0"/>
        <w:numPr>
          <w:ilvl w:val="0"/>
          <w:numId w:val="34"/>
        </w:numPr>
        <w:spacing w:line="276" w:lineRule="auto"/>
        <w:ind w:left="1134" w:hanging="567"/>
        <w:rPr>
          <w:rFonts w:eastAsia="Calibri" w:cs="Arial"/>
          <w:sz w:val="22"/>
          <w:szCs w:val="22"/>
        </w:rPr>
      </w:pPr>
      <w:r w:rsidRPr="00DC4794">
        <w:rPr>
          <w:rFonts w:eastAsia="Calibri" w:cs="Arial"/>
          <w:sz w:val="22"/>
          <w:szCs w:val="22"/>
        </w:rPr>
        <w:t xml:space="preserve">Nerve compression where delay will compromise potential functional recovery of nerve. </w:t>
      </w:r>
    </w:p>
    <w:p w14:paraId="552B8249" w14:textId="77777777" w:rsidR="00DC4794" w:rsidRPr="00DC4794" w:rsidRDefault="00DC4794" w:rsidP="00DC4794">
      <w:pPr>
        <w:widowControl w:val="0"/>
        <w:numPr>
          <w:ilvl w:val="0"/>
          <w:numId w:val="34"/>
        </w:numPr>
        <w:spacing w:line="276" w:lineRule="auto"/>
        <w:ind w:left="1134" w:hanging="567"/>
        <w:rPr>
          <w:rFonts w:eastAsia="Calibri" w:cs="Arial"/>
          <w:sz w:val="22"/>
          <w:szCs w:val="22"/>
        </w:rPr>
      </w:pPr>
      <w:r w:rsidRPr="00DC4794">
        <w:rPr>
          <w:rFonts w:eastAsia="Calibri" w:cs="Arial"/>
          <w:sz w:val="22"/>
          <w:szCs w:val="22"/>
        </w:rPr>
        <w:t xml:space="preserve">Surgery to foot/ankle in patients with diabetes or other neuropathies that will reduce risk of ulceration/infection or severe deformity. </w:t>
      </w:r>
    </w:p>
    <w:p w14:paraId="0132179F" w14:textId="77777777" w:rsidR="00DC4794" w:rsidRPr="00DC4794" w:rsidRDefault="00DC4794" w:rsidP="00DC4794">
      <w:pPr>
        <w:widowControl w:val="0"/>
        <w:numPr>
          <w:ilvl w:val="0"/>
          <w:numId w:val="34"/>
        </w:numPr>
        <w:spacing w:line="276" w:lineRule="auto"/>
        <w:ind w:left="1134" w:hanging="567"/>
        <w:rPr>
          <w:rFonts w:eastAsia="Calibri" w:cs="Arial"/>
          <w:sz w:val="22"/>
          <w:szCs w:val="22"/>
        </w:rPr>
      </w:pPr>
      <w:r w:rsidRPr="00DC4794">
        <w:rPr>
          <w:rFonts w:eastAsia="Calibri" w:cs="Arial"/>
          <w:sz w:val="22"/>
          <w:szCs w:val="22"/>
        </w:rPr>
        <w:t>Orthopaedic procedures for chronic infection.</w:t>
      </w:r>
    </w:p>
    <w:p w14:paraId="79C0CDDB" w14:textId="77777777" w:rsidR="00DC4794" w:rsidRPr="00DC4794" w:rsidRDefault="00DC4794" w:rsidP="00DC4794">
      <w:pPr>
        <w:widowControl w:val="0"/>
        <w:numPr>
          <w:ilvl w:val="0"/>
          <w:numId w:val="34"/>
        </w:numPr>
        <w:spacing w:line="276" w:lineRule="auto"/>
        <w:ind w:left="1134" w:hanging="567"/>
        <w:rPr>
          <w:rFonts w:eastAsia="Calibri" w:cs="Arial"/>
          <w:sz w:val="22"/>
          <w:szCs w:val="22"/>
        </w:rPr>
      </w:pPr>
      <w:r w:rsidRPr="00DC4794">
        <w:rPr>
          <w:rFonts w:eastAsia="Calibri" w:cs="Arial"/>
          <w:sz w:val="22"/>
          <w:szCs w:val="22"/>
        </w:rPr>
        <w:t>Acute knee injuries that may benefit from early surgical intervention (complex ligamentous injuries, repairable bucket handle meniscal tears, ACL tears that are suitable for repair).</w:t>
      </w:r>
    </w:p>
    <w:p w14:paraId="74A63302" w14:textId="77777777" w:rsidR="00DC4794" w:rsidRDefault="00DC4794" w:rsidP="00DC4794">
      <w:pPr>
        <w:widowControl w:val="0"/>
        <w:numPr>
          <w:ilvl w:val="0"/>
          <w:numId w:val="34"/>
        </w:numPr>
        <w:spacing w:line="276" w:lineRule="auto"/>
        <w:ind w:left="1134" w:hanging="567"/>
        <w:rPr>
          <w:rFonts w:eastAsia="Calibri" w:cs="Arial"/>
          <w:sz w:val="22"/>
          <w:szCs w:val="22"/>
        </w:rPr>
      </w:pPr>
      <w:r w:rsidRPr="00DC4794">
        <w:rPr>
          <w:rFonts w:eastAsia="Calibri" w:cs="Arial"/>
          <w:sz w:val="22"/>
          <w:szCs w:val="22"/>
        </w:rPr>
        <w:t>Lower limb ulceration.</w:t>
      </w:r>
    </w:p>
    <w:p w14:paraId="1049738D" w14:textId="77777777" w:rsidR="00DC4794" w:rsidRPr="00DC4794" w:rsidRDefault="00DC4794" w:rsidP="00DC4794">
      <w:pPr>
        <w:widowControl w:val="0"/>
        <w:spacing w:line="276" w:lineRule="auto"/>
        <w:ind w:left="1080"/>
        <w:rPr>
          <w:rFonts w:eastAsia="Calibri" w:cs="Arial"/>
          <w:sz w:val="16"/>
          <w:szCs w:val="16"/>
        </w:rPr>
      </w:pPr>
    </w:p>
    <w:p w14:paraId="3C9DC3CC" w14:textId="77777777" w:rsidR="00DC4794" w:rsidRPr="00DC4794" w:rsidRDefault="00DC4794" w:rsidP="00DC4794">
      <w:pPr>
        <w:widowControl w:val="0"/>
        <w:numPr>
          <w:ilvl w:val="0"/>
          <w:numId w:val="32"/>
        </w:numPr>
        <w:spacing w:line="276" w:lineRule="auto"/>
        <w:ind w:left="284" w:hanging="284"/>
        <w:rPr>
          <w:rFonts w:cs="Arial"/>
          <w:sz w:val="22"/>
          <w:szCs w:val="22"/>
          <w:lang w:val="en-US" w:eastAsia="ja-JP"/>
        </w:rPr>
      </w:pPr>
      <w:r w:rsidRPr="00DC4794">
        <w:rPr>
          <w:rFonts w:cs="Arial"/>
          <w:sz w:val="22"/>
          <w:szCs w:val="22"/>
          <w:lang w:val="en-US" w:eastAsia="ja-JP"/>
        </w:rPr>
        <w:t xml:space="preserve">Referrals for interventions of a diagnostic nature: </w:t>
      </w:r>
    </w:p>
    <w:p w14:paraId="0B6D4C2B" w14:textId="77777777" w:rsidR="00DC4794" w:rsidRPr="00DC4794" w:rsidRDefault="00DC4794" w:rsidP="00DC4794">
      <w:pPr>
        <w:widowControl w:val="0"/>
        <w:numPr>
          <w:ilvl w:val="0"/>
          <w:numId w:val="35"/>
        </w:numPr>
        <w:spacing w:line="276" w:lineRule="auto"/>
        <w:ind w:left="1134" w:hanging="567"/>
        <w:rPr>
          <w:rFonts w:cs="Arial"/>
          <w:sz w:val="22"/>
          <w:szCs w:val="22"/>
          <w:lang w:val="en-US" w:eastAsia="ja-JP"/>
        </w:rPr>
      </w:pPr>
      <w:r w:rsidRPr="00DC4794">
        <w:rPr>
          <w:rFonts w:cs="Arial"/>
          <w:sz w:val="22"/>
          <w:szCs w:val="22"/>
          <w:lang w:val="en-US" w:eastAsia="ja-JP"/>
        </w:rPr>
        <w:t>Gastroscopy</w:t>
      </w:r>
    </w:p>
    <w:p w14:paraId="7B0FC60A" w14:textId="77777777" w:rsidR="00DC4794" w:rsidRPr="00DC4794" w:rsidRDefault="00DC4794" w:rsidP="00DC4794">
      <w:pPr>
        <w:widowControl w:val="0"/>
        <w:numPr>
          <w:ilvl w:val="0"/>
          <w:numId w:val="35"/>
        </w:numPr>
        <w:spacing w:line="276" w:lineRule="auto"/>
        <w:ind w:left="1134" w:hanging="567"/>
        <w:rPr>
          <w:rFonts w:cs="Arial"/>
          <w:sz w:val="22"/>
          <w:szCs w:val="22"/>
          <w:lang w:val="en-US" w:eastAsia="ja-JP"/>
        </w:rPr>
      </w:pPr>
      <w:r w:rsidRPr="00DC4794">
        <w:rPr>
          <w:rFonts w:cs="Arial"/>
          <w:sz w:val="22"/>
          <w:szCs w:val="22"/>
          <w:lang w:val="en-US" w:eastAsia="ja-JP"/>
        </w:rPr>
        <w:t>Colonoscopy</w:t>
      </w:r>
    </w:p>
    <w:p w14:paraId="272D6538" w14:textId="77777777" w:rsidR="00DC4794" w:rsidRPr="00DC4794" w:rsidRDefault="00DC4794" w:rsidP="00DC4794">
      <w:pPr>
        <w:widowControl w:val="0"/>
        <w:numPr>
          <w:ilvl w:val="0"/>
          <w:numId w:val="35"/>
        </w:numPr>
        <w:spacing w:line="276" w:lineRule="auto"/>
        <w:ind w:left="1134" w:hanging="567"/>
        <w:rPr>
          <w:rFonts w:cs="Arial"/>
          <w:sz w:val="22"/>
          <w:szCs w:val="22"/>
          <w:lang w:val="en-US" w:eastAsia="ja-JP"/>
        </w:rPr>
      </w:pPr>
      <w:proofErr w:type="spellStart"/>
      <w:r w:rsidRPr="00DC4794">
        <w:rPr>
          <w:rFonts w:cs="Arial"/>
          <w:sz w:val="22"/>
          <w:szCs w:val="22"/>
          <w:lang w:val="en-US" w:eastAsia="ja-JP"/>
        </w:rPr>
        <w:t>Nasopharyngolaryngoscopy</w:t>
      </w:r>
      <w:proofErr w:type="spellEnd"/>
    </w:p>
    <w:p w14:paraId="1390EB4A" w14:textId="77777777" w:rsidR="00DC4794" w:rsidRPr="00DC4794" w:rsidRDefault="00DC4794" w:rsidP="00DC4794">
      <w:pPr>
        <w:widowControl w:val="0"/>
        <w:numPr>
          <w:ilvl w:val="0"/>
          <w:numId w:val="35"/>
        </w:numPr>
        <w:spacing w:line="276" w:lineRule="auto"/>
        <w:ind w:left="1134" w:hanging="567"/>
        <w:rPr>
          <w:rFonts w:cs="Arial"/>
          <w:sz w:val="22"/>
          <w:szCs w:val="22"/>
          <w:lang w:val="en-US" w:eastAsia="ja-JP"/>
        </w:rPr>
      </w:pPr>
      <w:r w:rsidRPr="00DC4794">
        <w:rPr>
          <w:rFonts w:cs="Arial"/>
          <w:sz w:val="22"/>
          <w:szCs w:val="22"/>
          <w:lang w:val="en-US" w:eastAsia="ja-JP"/>
        </w:rPr>
        <w:t>Laparoscopy</w:t>
      </w:r>
    </w:p>
    <w:p w14:paraId="399F3679" w14:textId="77777777" w:rsidR="00DC4794" w:rsidRPr="00DC4794" w:rsidRDefault="00DC4794" w:rsidP="00DC4794">
      <w:pPr>
        <w:widowControl w:val="0"/>
        <w:numPr>
          <w:ilvl w:val="0"/>
          <w:numId w:val="35"/>
        </w:numPr>
        <w:spacing w:line="276" w:lineRule="auto"/>
        <w:ind w:left="1134" w:hanging="567"/>
        <w:rPr>
          <w:rFonts w:cs="Arial"/>
          <w:sz w:val="22"/>
          <w:szCs w:val="22"/>
          <w:lang w:val="en-US" w:eastAsia="ja-JP"/>
        </w:rPr>
      </w:pPr>
      <w:r w:rsidRPr="00DC4794">
        <w:rPr>
          <w:rFonts w:cs="Arial"/>
          <w:sz w:val="22"/>
          <w:szCs w:val="22"/>
          <w:lang w:val="en-US" w:eastAsia="ja-JP"/>
        </w:rPr>
        <w:t>Hysteroscopy</w:t>
      </w:r>
    </w:p>
    <w:p w14:paraId="2BF98977" w14:textId="77777777" w:rsidR="00DC4794" w:rsidRDefault="00DC4794" w:rsidP="00DC4794">
      <w:pPr>
        <w:widowControl w:val="0"/>
        <w:numPr>
          <w:ilvl w:val="0"/>
          <w:numId w:val="35"/>
        </w:numPr>
        <w:spacing w:line="276" w:lineRule="auto"/>
        <w:ind w:left="1134" w:hanging="567"/>
        <w:rPr>
          <w:rFonts w:cs="Arial"/>
          <w:sz w:val="22"/>
          <w:szCs w:val="22"/>
          <w:lang w:val="en-US" w:eastAsia="ja-JP"/>
        </w:rPr>
      </w:pPr>
      <w:r w:rsidRPr="00DC4794">
        <w:rPr>
          <w:rFonts w:cs="Arial"/>
          <w:sz w:val="22"/>
          <w:szCs w:val="22"/>
          <w:lang w:val="en-US" w:eastAsia="ja-JP"/>
        </w:rPr>
        <w:t>Cystoscopy</w:t>
      </w:r>
    </w:p>
    <w:p w14:paraId="60068BF1" w14:textId="77777777" w:rsidR="00DC4794" w:rsidRPr="00DC4794" w:rsidRDefault="00DC4794" w:rsidP="00DC4794">
      <w:pPr>
        <w:widowControl w:val="0"/>
        <w:spacing w:line="276" w:lineRule="auto"/>
        <w:ind w:left="1440"/>
        <w:rPr>
          <w:rFonts w:cs="Arial"/>
          <w:sz w:val="16"/>
          <w:szCs w:val="16"/>
          <w:lang w:val="en-US" w:eastAsia="ja-JP"/>
        </w:rPr>
      </w:pPr>
    </w:p>
    <w:p w14:paraId="7697BDE1" w14:textId="77777777" w:rsidR="00DC4794" w:rsidRPr="00DC4794" w:rsidRDefault="00DC4794" w:rsidP="00DC4794">
      <w:pPr>
        <w:widowControl w:val="0"/>
        <w:numPr>
          <w:ilvl w:val="0"/>
          <w:numId w:val="32"/>
        </w:numPr>
        <w:spacing w:line="276" w:lineRule="auto"/>
        <w:ind w:left="284" w:hanging="284"/>
        <w:rPr>
          <w:rFonts w:cs="Arial"/>
          <w:sz w:val="22"/>
          <w:szCs w:val="22"/>
          <w:lang w:val="en-US" w:eastAsia="ja-JP"/>
        </w:rPr>
      </w:pPr>
      <w:r w:rsidRPr="00DC4794">
        <w:rPr>
          <w:rFonts w:cs="Arial"/>
          <w:sz w:val="22"/>
          <w:szCs w:val="22"/>
          <w:lang w:val="en-US" w:eastAsia="ja-JP"/>
        </w:rPr>
        <w:t>Patients with advanced or severe neurological symptoms of Carpal Tunnel Syndrome such as constant pins and needles, numbness, muscle wasting and prominent pain.</w:t>
      </w:r>
    </w:p>
    <w:p w14:paraId="365C5062" w14:textId="77777777" w:rsidR="00DC4794" w:rsidRPr="00DC4794" w:rsidRDefault="00DC4794" w:rsidP="00DC4794">
      <w:pPr>
        <w:widowControl w:val="0"/>
        <w:numPr>
          <w:ilvl w:val="0"/>
          <w:numId w:val="33"/>
        </w:numPr>
        <w:spacing w:line="276" w:lineRule="auto"/>
        <w:ind w:left="284" w:hanging="284"/>
        <w:rPr>
          <w:rFonts w:cs="Arial"/>
          <w:sz w:val="22"/>
          <w:szCs w:val="22"/>
          <w:lang w:val="en-US" w:eastAsia="ja-JP"/>
        </w:rPr>
      </w:pPr>
      <w:r w:rsidRPr="00DC4794">
        <w:rPr>
          <w:rFonts w:cs="Arial"/>
          <w:sz w:val="22"/>
          <w:szCs w:val="22"/>
          <w:lang w:val="en-US" w:eastAsia="ja-JP"/>
        </w:rPr>
        <w:t>Patients who despite having a BMI &gt;30 have a waist circumference of:</w:t>
      </w:r>
    </w:p>
    <w:p w14:paraId="0E848BF5" w14:textId="77777777" w:rsidR="00DC4794" w:rsidRPr="00DC4794" w:rsidRDefault="00DC4794" w:rsidP="00DC4794">
      <w:pPr>
        <w:widowControl w:val="0"/>
        <w:numPr>
          <w:ilvl w:val="1"/>
          <w:numId w:val="33"/>
        </w:numPr>
        <w:spacing w:line="276" w:lineRule="auto"/>
        <w:ind w:left="1418"/>
        <w:rPr>
          <w:rFonts w:cs="Arial"/>
          <w:sz w:val="22"/>
          <w:szCs w:val="22"/>
          <w:lang w:val="en-US" w:eastAsia="ja-JP"/>
        </w:rPr>
      </w:pPr>
      <w:r w:rsidRPr="00DC4794">
        <w:rPr>
          <w:rFonts w:cs="Arial"/>
          <w:sz w:val="22"/>
          <w:szCs w:val="22"/>
          <w:lang w:val="en-US" w:eastAsia="ja-JP"/>
        </w:rPr>
        <w:t>Less than 94cm (37 inches) male</w:t>
      </w:r>
    </w:p>
    <w:p w14:paraId="0DF9ED01" w14:textId="77777777" w:rsidR="00DC4794" w:rsidRPr="00DC4794" w:rsidRDefault="00DC4794" w:rsidP="00DC4794">
      <w:pPr>
        <w:widowControl w:val="0"/>
        <w:numPr>
          <w:ilvl w:val="1"/>
          <w:numId w:val="33"/>
        </w:numPr>
        <w:spacing w:line="276" w:lineRule="auto"/>
        <w:rPr>
          <w:rFonts w:cs="Arial"/>
          <w:sz w:val="22"/>
          <w:szCs w:val="22"/>
          <w:lang w:val="en-US" w:eastAsia="ja-JP"/>
        </w:rPr>
      </w:pPr>
      <w:r w:rsidRPr="00DC4794">
        <w:rPr>
          <w:rFonts w:cs="Arial"/>
          <w:sz w:val="22"/>
          <w:szCs w:val="22"/>
          <w:lang w:val="en-US" w:eastAsia="ja-JP"/>
        </w:rPr>
        <w:t>Less than 80cm (31.5 inches) female</w:t>
      </w:r>
    </w:p>
    <w:p w14:paraId="4805FF47" w14:textId="77777777" w:rsidR="00DC4794" w:rsidRPr="00DC4794" w:rsidRDefault="00DC4794" w:rsidP="00DC4794">
      <w:pPr>
        <w:widowControl w:val="0"/>
        <w:numPr>
          <w:ilvl w:val="0"/>
          <w:numId w:val="33"/>
        </w:numPr>
        <w:spacing w:line="276" w:lineRule="auto"/>
        <w:ind w:left="284" w:hanging="284"/>
        <w:rPr>
          <w:rFonts w:cs="Arial"/>
          <w:sz w:val="22"/>
          <w:szCs w:val="22"/>
          <w:lang w:val="en-US" w:eastAsia="ja-JP"/>
        </w:rPr>
      </w:pPr>
      <w:r w:rsidRPr="00DC4794">
        <w:rPr>
          <w:rFonts w:cs="Arial"/>
          <w:sz w:val="22"/>
          <w:szCs w:val="22"/>
          <w:lang w:val="en-US" w:eastAsia="ja-JP"/>
        </w:rPr>
        <w:lastRenderedPageBreak/>
        <w:t>Children under 18 years of age.</w:t>
      </w:r>
    </w:p>
    <w:p w14:paraId="291F1E50" w14:textId="77777777" w:rsidR="00DC4794" w:rsidRPr="00DC4794" w:rsidRDefault="00DC4794" w:rsidP="00DC4794">
      <w:pPr>
        <w:widowControl w:val="0"/>
        <w:numPr>
          <w:ilvl w:val="0"/>
          <w:numId w:val="33"/>
        </w:numPr>
        <w:spacing w:line="276" w:lineRule="auto"/>
        <w:ind w:left="284" w:hanging="284"/>
        <w:rPr>
          <w:rFonts w:cs="Arial"/>
          <w:sz w:val="22"/>
          <w:szCs w:val="22"/>
          <w:lang w:val="en-US" w:eastAsia="ja-JP"/>
        </w:rPr>
      </w:pPr>
      <w:r w:rsidRPr="00DC4794">
        <w:rPr>
          <w:rFonts w:cs="Arial"/>
          <w:sz w:val="22"/>
          <w:szCs w:val="22"/>
          <w:lang w:val="en-US" w:eastAsia="ja-JP"/>
        </w:rPr>
        <w:t>Patients receiving surgery for the treatment of cancer or the suspicion of cancer.</w:t>
      </w:r>
    </w:p>
    <w:p w14:paraId="29DA9C89" w14:textId="77777777" w:rsidR="00DC4794" w:rsidRPr="00DC4794" w:rsidRDefault="00DC4794" w:rsidP="00DC4794">
      <w:pPr>
        <w:widowControl w:val="0"/>
        <w:numPr>
          <w:ilvl w:val="0"/>
          <w:numId w:val="33"/>
        </w:numPr>
        <w:spacing w:line="276" w:lineRule="auto"/>
        <w:ind w:left="284" w:hanging="284"/>
        <w:rPr>
          <w:rFonts w:cs="Arial"/>
          <w:sz w:val="22"/>
          <w:szCs w:val="22"/>
          <w:lang w:val="en-US" w:eastAsia="ja-JP"/>
        </w:rPr>
      </w:pPr>
      <w:r w:rsidRPr="00DC4794">
        <w:rPr>
          <w:rFonts w:cs="Arial"/>
          <w:sz w:val="22"/>
          <w:szCs w:val="22"/>
          <w:lang w:val="en-US" w:eastAsia="ja-JP"/>
        </w:rPr>
        <w:t>Any surgical interventions that may be required as a result of pregnancy.</w:t>
      </w:r>
    </w:p>
    <w:p w14:paraId="42B3F375" w14:textId="77777777" w:rsidR="00DC4794" w:rsidRPr="00DC4794" w:rsidRDefault="00DC4794" w:rsidP="00DC4794">
      <w:pPr>
        <w:widowControl w:val="0"/>
        <w:numPr>
          <w:ilvl w:val="0"/>
          <w:numId w:val="33"/>
        </w:numPr>
        <w:spacing w:line="276" w:lineRule="auto"/>
        <w:ind w:left="284" w:hanging="284"/>
        <w:rPr>
          <w:rFonts w:cs="Arial"/>
          <w:sz w:val="22"/>
          <w:szCs w:val="22"/>
          <w:lang w:val="en-US" w:eastAsia="ja-JP"/>
        </w:rPr>
      </w:pPr>
      <w:r w:rsidRPr="00DC4794">
        <w:rPr>
          <w:rFonts w:cs="Arial"/>
          <w:sz w:val="22"/>
          <w:szCs w:val="22"/>
          <w:lang w:val="en-US" w:eastAsia="ja-JP"/>
        </w:rPr>
        <w:t xml:space="preserve">Patients with tinnitus. </w:t>
      </w:r>
    </w:p>
    <w:p w14:paraId="0C8FB87B" w14:textId="77777777" w:rsidR="00DC4794" w:rsidRPr="00DC4794" w:rsidRDefault="00DC4794" w:rsidP="00DC4794">
      <w:pPr>
        <w:widowControl w:val="0"/>
        <w:numPr>
          <w:ilvl w:val="0"/>
          <w:numId w:val="33"/>
        </w:numPr>
        <w:spacing w:line="276" w:lineRule="auto"/>
        <w:ind w:left="284" w:hanging="284"/>
        <w:rPr>
          <w:rFonts w:cs="Arial"/>
          <w:sz w:val="22"/>
          <w:szCs w:val="22"/>
          <w:lang w:val="en-US" w:eastAsia="ja-JP"/>
        </w:rPr>
      </w:pPr>
      <w:r w:rsidRPr="00DC4794">
        <w:rPr>
          <w:rFonts w:cs="Arial"/>
          <w:sz w:val="22"/>
          <w:szCs w:val="22"/>
          <w:lang w:val="en-US" w:eastAsia="ja-JP"/>
        </w:rPr>
        <w:t>Patients requiring cataracts surgery.</w:t>
      </w:r>
    </w:p>
    <w:p w14:paraId="00A50C85" w14:textId="36D8E475" w:rsidR="00DC4794" w:rsidRPr="00DC4794" w:rsidRDefault="00DC4794" w:rsidP="00DC4794">
      <w:pPr>
        <w:widowControl w:val="0"/>
        <w:numPr>
          <w:ilvl w:val="0"/>
          <w:numId w:val="33"/>
        </w:numPr>
        <w:spacing w:line="276" w:lineRule="auto"/>
        <w:ind w:left="284" w:hanging="284"/>
        <w:rPr>
          <w:rFonts w:cs="Arial"/>
          <w:sz w:val="22"/>
          <w:szCs w:val="22"/>
          <w:lang w:val="en-US" w:eastAsia="ja-JP"/>
        </w:rPr>
      </w:pPr>
      <w:r w:rsidRPr="00DC4794">
        <w:rPr>
          <w:rFonts w:cs="Arial"/>
          <w:sz w:val="22"/>
          <w:szCs w:val="22"/>
          <w:lang w:val="en-US" w:eastAsia="ja-JP"/>
        </w:rPr>
        <w:t>Vulnerable patients who will need to be clinically assessed to ensure that, where they may be able to benefit from opportunities to improve lifestyle, that these are offered. (Please note that deferring elective interventions may be appropriate for some vulnerable patients based on clinical assessment of their ability to benefit from an opportunity to stop smoking/reduce their BMI/improve pre-operative fitness). This includes patients with the following:</w:t>
      </w:r>
    </w:p>
    <w:p w14:paraId="56DE08E1" w14:textId="77777777" w:rsidR="00DC4794" w:rsidRPr="00DC4794" w:rsidRDefault="00DC4794" w:rsidP="00DC4794">
      <w:pPr>
        <w:widowControl w:val="0"/>
        <w:numPr>
          <w:ilvl w:val="1"/>
          <w:numId w:val="33"/>
        </w:numPr>
        <w:spacing w:line="276" w:lineRule="auto"/>
        <w:ind w:left="1418" w:hanging="284"/>
        <w:rPr>
          <w:rFonts w:cs="Arial"/>
          <w:sz w:val="22"/>
          <w:szCs w:val="22"/>
          <w:lang w:val="en-US" w:eastAsia="ja-JP"/>
        </w:rPr>
      </w:pPr>
      <w:r w:rsidRPr="00DC4794">
        <w:rPr>
          <w:rFonts w:cs="Arial"/>
          <w:sz w:val="22"/>
          <w:szCs w:val="22"/>
          <w:lang w:val="en-US" w:eastAsia="ja-JP"/>
        </w:rPr>
        <w:t>Learning disabilities</w:t>
      </w:r>
    </w:p>
    <w:p w14:paraId="1F079348" w14:textId="77777777" w:rsidR="00DC4794" w:rsidRPr="00DC4794" w:rsidRDefault="00DC4794" w:rsidP="00DC4794">
      <w:pPr>
        <w:widowControl w:val="0"/>
        <w:numPr>
          <w:ilvl w:val="1"/>
          <w:numId w:val="33"/>
        </w:numPr>
        <w:spacing w:line="276" w:lineRule="auto"/>
        <w:ind w:left="1418" w:hanging="284"/>
        <w:rPr>
          <w:rFonts w:cs="Arial"/>
          <w:sz w:val="22"/>
          <w:szCs w:val="22"/>
          <w:lang w:val="en-US" w:eastAsia="ja-JP"/>
        </w:rPr>
      </w:pPr>
      <w:r w:rsidRPr="00DC4794">
        <w:rPr>
          <w:rFonts w:cs="Arial"/>
          <w:sz w:val="22"/>
          <w:szCs w:val="22"/>
          <w:lang w:val="en-US" w:eastAsia="ja-JP"/>
        </w:rPr>
        <w:t xml:space="preserve">Significant cognitive impairment </w:t>
      </w:r>
    </w:p>
    <w:p w14:paraId="00A9F38C" w14:textId="77777777" w:rsidR="00DC4794" w:rsidRPr="00DC4794" w:rsidRDefault="00DC4794" w:rsidP="00DC4794">
      <w:pPr>
        <w:widowControl w:val="0"/>
        <w:numPr>
          <w:ilvl w:val="1"/>
          <w:numId w:val="33"/>
        </w:numPr>
        <w:spacing w:line="276" w:lineRule="auto"/>
        <w:ind w:left="1418" w:hanging="284"/>
        <w:rPr>
          <w:rFonts w:cs="Arial"/>
          <w:sz w:val="22"/>
          <w:szCs w:val="22"/>
          <w:lang w:val="en-US" w:eastAsia="ja-JP"/>
        </w:rPr>
      </w:pPr>
      <w:r w:rsidRPr="00DC4794">
        <w:rPr>
          <w:rFonts w:cs="Arial"/>
          <w:sz w:val="22"/>
          <w:szCs w:val="22"/>
          <w:lang w:val="en-US" w:eastAsia="ja-JP"/>
        </w:rPr>
        <w:t>Severe mental illness**</w:t>
      </w:r>
    </w:p>
    <w:p w14:paraId="12F0F2CA" w14:textId="77777777" w:rsidR="00DC4794" w:rsidRPr="00DC4794" w:rsidRDefault="00DC4794" w:rsidP="00DC4794">
      <w:pPr>
        <w:spacing w:line="276" w:lineRule="auto"/>
        <w:ind w:left="1440"/>
        <w:rPr>
          <w:rFonts w:cs="Arial"/>
          <w:sz w:val="22"/>
          <w:szCs w:val="22"/>
          <w:lang w:val="en-US" w:eastAsia="ja-JP"/>
        </w:rPr>
      </w:pPr>
    </w:p>
    <w:p w14:paraId="409EFA50" w14:textId="77777777" w:rsidR="00DC4794" w:rsidRPr="00DC4794" w:rsidRDefault="00DC4794" w:rsidP="00DC4794">
      <w:pPr>
        <w:spacing w:line="276" w:lineRule="auto"/>
        <w:rPr>
          <w:rFonts w:cs="Arial"/>
          <w:sz w:val="20"/>
          <w:szCs w:val="20"/>
          <w:lang w:val="en-US" w:eastAsia="ja-JP"/>
        </w:rPr>
      </w:pPr>
      <w:r w:rsidRPr="00DC4794">
        <w:rPr>
          <w:rFonts w:cs="Arial"/>
          <w:sz w:val="20"/>
          <w:szCs w:val="20"/>
          <w:lang w:val="en-US" w:eastAsia="ja-JP"/>
        </w:rPr>
        <w:t xml:space="preserve">**Adults with a serious mental illness are persons who currently or at any time during the past year, have a diagnosable mental, </w:t>
      </w:r>
      <w:proofErr w:type="spellStart"/>
      <w:r w:rsidRPr="00DC4794">
        <w:rPr>
          <w:rFonts w:cs="Arial"/>
          <w:sz w:val="20"/>
          <w:szCs w:val="20"/>
          <w:lang w:val="en-US" w:eastAsia="ja-JP"/>
        </w:rPr>
        <w:t>behavioural</w:t>
      </w:r>
      <w:proofErr w:type="spellEnd"/>
      <w:r w:rsidRPr="00DC4794">
        <w:rPr>
          <w:rFonts w:cs="Arial"/>
          <w:sz w:val="20"/>
          <w:szCs w:val="20"/>
          <w:lang w:val="en-US" w:eastAsia="ja-JP"/>
        </w:rPr>
        <w:t>, or emotional disorder of sufficient duration that has resulted in functional impairment which substantially interferes with or limits one or more major life activities</w:t>
      </w:r>
    </w:p>
    <w:p w14:paraId="67D6E43C" w14:textId="3A17372A" w:rsidR="00DC4794" w:rsidRPr="00E16D2E" w:rsidRDefault="00DC4794">
      <w:pPr>
        <w:rPr>
          <w:rFonts w:cs="Arial"/>
        </w:rPr>
      </w:pPr>
      <w:r>
        <w:rPr>
          <w:rFonts w:cs="Arial"/>
        </w:rPr>
        <w:t xml:space="preserve"> </w:t>
      </w:r>
    </w:p>
    <w:sectPr w:rsidR="00DC4794" w:rsidRPr="00E16D2E" w:rsidSect="004F509A">
      <w:headerReference w:type="default" r:id="rId12"/>
      <w:footerReference w:type="default" r:id="rId13"/>
      <w:pgSz w:w="11906" w:h="16838"/>
      <w:pgMar w:top="1440" w:right="1440" w:bottom="156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DEBE4" w14:textId="77777777" w:rsidR="003A2CB6" w:rsidRDefault="003A2CB6" w:rsidP="004A3E79">
      <w:r>
        <w:separator/>
      </w:r>
    </w:p>
  </w:endnote>
  <w:endnote w:type="continuationSeparator" w:id="0">
    <w:p w14:paraId="1F599A66" w14:textId="77777777" w:rsidR="003A2CB6" w:rsidRDefault="003A2CB6" w:rsidP="004A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0EEF" w14:textId="77777777" w:rsidR="004F509A" w:rsidRPr="004F509A" w:rsidRDefault="004F509A">
    <w:pPr>
      <w:pStyle w:val="Footer"/>
      <w:jc w:val="center"/>
      <w:rPr>
        <w:caps/>
        <w:noProof/>
        <w:color w:val="4472C4" w:themeColor="accent1"/>
        <w:sz w:val="20"/>
        <w:szCs w:val="20"/>
      </w:rPr>
    </w:pPr>
    <w:r w:rsidRPr="004F509A">
      <w:rPr>
        <w:caps/>
        <w:color w:val="4472C4" w:themeColor="accent1"/>
        <w:sz w:val="20"/>
        <w:szCs w:val="20"/>
      </w:rPr>
      <w:fldChar w:fldCharType="begin"/>
    </w:r>
    <w:r w:rsidRPr="004F509A">
      <w:rPr>
        <w:caps/>
        <w:color w:val="4472C4" w:themeColor="accent1"/>
        <w:sz w:val="20"/>
        <w:szCs w:val="20"/>
      </w:rPr>
      <w:instrText xml:space="preserve"> PAGE   \* MERGEFORMAT </w:instrText>
    </w:r>
    <w:r w:rsidRPr="004F509A">
      <w:rPr>
        <w:caps/>
        <w:color w:val="4472C4" w:themeColor="accent1"/>
        <w:sz w:val="20"/>
        <w:szCs w:val="20"/>
      </w:rPr>
      <w:fldChar w:fldCharType="separate"/>
    </w:r>
    <w:r w:rsidR="005E2D01">
      <w:rPr>
        <w:caps/>
        <w:noProof/>
        <w:color w:val="4472C4" w:themeColor="accent1"/>
        <w:sz w:val="20"/>
        <w:szCs w:val="20"/>
      </w:rPr>
      <w:t>1</w:t>
    </w:r>
    <w:r w:rsidRPr="004F509A">
      <w:rPr>
        <w:caps/>
        <w:noProof/>
        <w:color w:val="4472C4" w:themeColor="accent1"/>
        <w:sz w:val="20"/>
        <w:szCs w:val="20"/>
      </w:rPr>
      <w:fldChar w:fldCharType="end"/>
    </w:r>
  </w:p>
  <w:p w14:paraId="786E43F6" w14:textId="77777777" w:rsidR="004F509A" w:rsidRDefault="004F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4B3A6" w14:textId="77777777" w:rsidR="003A2CB6" w:rsidRDefault="003A2CB6" w:rsidP="004A3E79">
      <w:r>
        <w:separator/>
      </w:r>
    </w:p>
  </w:footnote>
  <w:footnote w:type="continuationSeparator" w:id="0">
    <w:p w14:paraId="6532910B" w14:textId="77777777" w:rsidR="003A2CB6" w:rsidRDefault="003A2CB6" w:rsidP="004A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837F" w14:textId="5FF82C9F" w:rsidR="004F509A" w:rsidRDefault="004F509A" w:rsidP="004F509A">
    <w:pPr>
      <w:pStyle w:val="Header"/>
      <w:jc w:val="right"/>
    </w:pPr>
    <w:r w:rsidRPr="00233F8A">
      <w:rPr>
        <w:noProof/>
        <w:lang w:eastAsia="en-GB"/>
      </w:rPr>
      <w:drawing>
        <wp:inline distT="0" distB="0" distL="0" distR="0" wp14:anchorId="0C636F71" wp14:editId="1E954802">
          <wp:extent cx="3192780" cy="419100"/>
          <wp:effectExtent l="0" t="0" r="7620" b="0"/>
          <wp:docPr id="5" name="Picture 5"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419100"/>
                  </a:xfrm>
                  <a:prstGeom prst="rect">
                    <a:avLst/>
                  </a:prstGeom>
                  <a:noFill/>
                  <a:ln>
                    <a:noFill/>
                  </a:ln>
                </pic:spPr>
              </pic:pic>
            </a:graphicData>
          </a:graphic>
        </wp:inline>
      </w:drawing>
    </w:r>
  </w:p>
  <w:p w14:paraId="086FB0FA" w14:textId="4EBD6337" w:rsidR="004F509A" w:rsidRDefault="004F509A" w:rsidP="004F509A">
    <w:pPr>
      <w:pStyle w:val="Header"/>
      <w:jc w:val="right"/>
    </w:pPr>
    <w:r>
      <w:t>Putting Barnsley People First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6BA"/>
    <w:multiLevelType w:val="multilevel"/>
    <w:tmpl w:val="9F68EC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FCB0401"/>
    <w:multiLevelType w:val="hybridMultilevel"/>
    <w:tmpl w:val="7A9C1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40464"/>
    <w:multiLevelType w:val="hybridMultilevel"/>
    <w:tmpl w:val="63F6568A"/>
    <w:lvl w:ilvl="0" w:tplc="08090001">
      <w:start w:val="1"/>
      <w:numFmt w:val="bullet"/>
      <w:lvlText w:val=""/>
      <w:lvlJc w:val="left"/>
      <w:pPr>
        <w:ind w:left="1008" w:hanging="360"/>
      </w:pPr>
      <w:rPr>
        <w:rFonts w:ascii="Symbol" w:hAnsi="Symbol" w:hint="default"/>
        <w:b/>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
    <w:nsid w:val="167D64B9"/>
    <w:multiLevelType w:val="hybridMultilevel"/>
    <w:tmpl w:val="C9AC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5309A"/>
    <w:multiLevelType w:val="hybridMultilevel"/>
    <w:tmpl w:val="8A80FA82"/>
    <w:lvl w:ilvl="0" w:tplc="08090001">
      <w:start w:val="1"/>
      <w:numFmt w:val="bullet"/>
      <w:lvlText w:val=""/>
      <w:lvlJc w:val="left"/>
      <w:pPr>
        <w:ind w:left="1080" w:hanging="360"/>
      </w:pPr>
      <w:rPr>
        <w:rFonts w:ascii="Symbol" w:hAnsi="Symbol" w:hint="default"/>
      </w:rPr>
    </w:lvl>
    <w:lvl w:ilvl="1" w:tplc="F90E485E">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004759"/>
    <w:multiLevelType w:val="hybridMultilevel"/>
    <w:tmpl w:val="DB748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D65E45"/>
    <w:multiLevelType w:val="multilevel"/>
    <w:tmpl w:val="9F68EC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0690B04"/>
    <w:multiLevelType w:val="hybridMultilevel"/>
    <w:tmpl w:val="87E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C78DC"/>
    <w:multiLevelType w:val="hybridMultilevel"/>
    <w:tmpl w:val="ABB4AE02"/>
    <w:lvl w:ilvl="0" w:tplc="08090015">
      <w:start w:val="1"/>
      <w:numFmt w:val="upp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64018A"/>
    <w:multiLevelType w:val="hybridMultilevel"/>
    <w:tmpl w:val="7B1A052A"/>
    <w:lvl w:ilvl="0" w:tplc="79E24C60">
      <w:start w:val="1"/>
      <w:numFmt w:val="bullet"/>
      <w:lvlText w:val="•"/>
      <w:lvlJc w:val="left"/>
      <w:pPr>
        <w:tabs>
          <w:tab w:val="num" w:pos="360"/>
        </w:tabs>
        <w:ind w:left="360" w:hanging="360"/>
      </w:pPr>
      <w:rPr>
        <w:rFonts w:ascii="Times New Roman" w:hAnsi="Times New Roman" w:cs="Times New Roman" w:hint="default"/>
      </w:rPr>
    </w:lvl>
    <w:lvl w:ilvl="1" w:tplc="84DEC8B6">
      <w:start w:val="1"/>
      <w:numFmt w:val="bullet"/>
      <w:lvlText w:val="•"/>
      <w:lvlJc w:val="left"/>
      <w:pPr>
        <w:tabs>
          <w:tab w:val="num" w:pos="1080"/>
        </w:tabs>
        <w:ind w:left="1080" w:hanging="360"/>
      </w:pPr>
      <w:rPr>
        <w:rFonts w:ascii="Times New Roman" w:hAnsi="Times New Roman" w:cs="Times New Roman" w:hint="default"/>
      </w:rPr>
    </w:lvl>
    <w:lvl w:ilvl="2" w:tplc="A58EC464">
      <w:start w:val="1"/>
      <w:numFmt w:val="bullet"/>
      <w:lvlText w:val="•"/>
      <w:lvlJc w:val="left"/>
      <w:pPr>
        <w:tabs>
          <w:tab w:val="num" w:pos="1800"/>
        </w:tabs>
        <w:ind w:left="1800" w:hanging="360"/>
      </w:pPr>
      <w:rPr>
        <w:rFonts w:ascii="Times New Roman" w:hAnsi="Times New Roman" w:cs="Times New Roman" w:hint="default"/>
      </w:rPr>
    </w:lvl>
    <w:lvl w:ilvl="3" w:tplc="E968E3C8">
      <w:start w:val="1"/>
      <w:numFmt w:val="bullet"/>
      <w:lvlText w:val="•"/>
      <w:lvlJc w:val="left"/>
      <w:pPr>
        <w:tabs>
          <w:tab w:val="num" w:pos="2520"/>
        </w:tabs>
        <w:ind w:left="2520" w:hanging="360"/>
      </w:pPr>
      <w:rPr>
        <w:rFonts w:ascii="Times New Roman" w:hAnsi="Times New Roman" w:cs="Times New Roman" w:hint="default"/>
      </w:rPr>
    </w:lvl>
    <w:lvl w:ilvl="4" w:tplc="0CAEE558">
      <w:start w:val="1"/>
      <w:numFmt w:val="bullet"/>
      <w:lvlText w:val="•"/>
      <w:lvlJc w:val="left"/>
      <w:pPr>
        <w:tabs>
          <w:tab w:val="num" w:pos="3240"/>
        </w:tabs>
        <w:ind w:left="3240" w:hanging="360"/>
      </w:pPr>
      <w:rPr>
        <w:rFonts w:ascii="Times New Roman" w:hAnsi="Times New Roman" w:cs="Times New Roman" w:hint="default"/>
      </w:rPr>
    </w:lvl>
    <w:lvl w:ilvl="5" w:tplc="F01606B2">
      <w:start w:val="1"/>
      <w:numFmt w:val="bullet"/>
      <w:lvlText w:val="•"/>
      <w:lvlJc w:val="left"/>
      <w:pPr>
        <w:tabs>
          <w:tab w:val="num" w:pos="3960"/>
        </w:tabs>
        <w:ind w:left="3960" w:hanging="360"/>
      </w:pPr>
      <w:rPr>
        <w:rFonts w:ascii="Times New Roman" w:hAnsi="Times New Roman" w:cs="Times New Roman" w:hint="default"/>
      </w:rPr>
    </w:lvl>
    <w:lvl w:ilvl="6" w:tplc="17FC5FF6">
      <w:start w:val="1"/>
      <w:numFmt w:val="bullet"/>
      <w:lvlText w:val="•"/>
      <w:lvlJc w:val="left"/>
      <w:pPr>
        <w:tabs>
          <w:tab w:val="num" w:pos="4680"/>
        </w:tabs>
        <w:ind w:left="4680" w:hanging="360"/>
      </w:pPr>
      <w:rPr>
        <w:rFonts w:ascii="Times New Roman" w:hAnsi="Times New Roman" w:cs="Times New Roman" w:hint="default"/>
      </w:rPr>
    </w:lvl>
    <w:lvl w:ilvl="7" w:tplc="BFCA3058">
      <w:start w:val="1"/>
      <w:numFmt w:val="bullet"/>
      <w:lvlText w:val="•"/>
      <w:lvlJc w:val="left"/>
      <w:pPr>
        <w:tabs>
          <w:tab w:val="num" w:pos="5400"/>
        </w:tabs>
        <w:ind w:left="5400" w:hanging="360"/>
      </w:pPr>
      <w:rPr>
        <w:rFonts w:ascii="Times New Roman" w:hAnsi="Times New Roman" w:cs="Times New Roman" w:hint="default"/>
      </w:rPr>
    </w:lvl>
    <w:lvl w:ilvl="8" w:tplc="0E3C8316">
      <w:start w:val="1"/>
      <w:numFmt w:val="bullet"/>
      <w:lvlText w:val="•"/>
      <w:lvlJc w:val="left"/>
      <w:pPr>
        <w:tabs>
          <w:tab w:val="num" w:pos="6120"/>
        </w:tabs>
        <w:ind w:left="6120" w:hanging="360"/>
      </w:pPr>
      <w:rPr>
        <w:rFonts w:ascii="Times New Roman" w:hAnsi="Times New Roman" w:cs="Times New Roman" w:hint="default"/>
      </w:rPr>
    </w:lvl>
  </w:abstractNum>
  <w:abstractNum w:abstractNumId="10">
    <w:nsid w:val="39C16F90"/>
    <w:multiLevelType w:val="hybridMultilevel"/>
    <w:tmpl w:val="53E4A958"/>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BF26B7F"/>
    <w:multiLevelType w:val="hybridMultilevel"/>
    <w:tmpl w:val="67A6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D61B2E"/>
    <w:multiLevelType w:val="hybridMultilevel"/>
    <w:tmpl w:val="E4B0F258"/>
    <w:lvl w:ilvl="0" w:tplc="B2BAFF3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A3443A"/>
    <w:multiLevelType w:val="hybridMultilevel"/>
    <w:tmpl w:val="40C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34546"/>
    <w:multiLevelType w:val="multilevel"/>
    <w:tmpl w:val="79B46920"/>
    <w:lvl w:ilvl="0">
      <w:start w:val="1"/>
      <w:numFmt w:val="bullet"/>
      <w:lvlText w:val=""/>
      <w:lvlJc w:val="left"/>
      <w:pPr>
        <w:ind w:left="910" w:hanging="564"/>
      </w:pPr>
      <w:rPr>
        <w:rFonts w:ascii="Symbol" w:hAnsi="Symbol" w:hint="default"/>
      </w:rPr>
    </w:lvl>
    <w:lvl w:ilvl="1" w:tentative="1">
      <w:start w:val="1"/>
      <w:numFmt w:val="bullet"/>
      <w:lvlText w:val="o"/>
      <w:lvlJc w:val="left"/>
      <w:pPr>
        <w:ind w:left="1426" w:hanging="360"/>
      </w:pPr>
      <w:rPr>
        <w:rFonts w:ascii="Courier New" w:hAnsi="Courier New" w:cs="Courier New" w:hint="default"/>
      </w:rPr>
    </w:lvl>
    <w:lvl w:ilvl="2" w:tentative="1">
      <w:start w:val="1"/>
      <w:numFmt w:val="bullet"/>
      <w:lvlText w:val=""/>
      <w:lvlJc w:val="left"/>
      <w:pPr>
        <w:ind w:left="2146" w:hanging="360"/>
      </w:pPr>
      <w:rPr>
        <w:rFonts w:ascii="Wingdings" w:hAnsi="Wingdings" w:hint="default"/>
      </w:rPr>
    </w:lvl>
    <w:lvl w:ilvl="3" w:tentative="1">
      <w:start w:val="1"/>
      <w:numFmt w:val="bullet"/>
      <w:lvlText w:val=""/>
      <w:lvlJc w:val="left"/>
      <w:pPr>
        <w:ind w:left="2866" w:hanging="360"/>
      </w:pPr>
      <w:rPr>
        <w:rFonts w:ascii="Symbol" w:hAnsi="Symbol" w:hint="default"/>
      </w:rPr>
    </w:lvl>
    <w:lvl w:ilvl="4" w:tentative="1">
      <w:start w:val="1"/>
      <w:numFmt w:val="bullet"/>
      <w:lvlText w:val="o"/>
      <w:lvlJc w:val="left"/>
      <w:pPr>
        <w:ind w:left="3586" w:hanging="360"/>
      </w:pPr>
      <w:rPr>
        <w:rFonts w:ascii="Courier New" w:hAnsi="Courier New" w:cs="Courier New" w:hint="default"/>
      </w:rPr>
    </w:lvl>
    <w:lvl w:ilvl="5" w:tentative="1">
      <w:start w:val="1"/>
      <w:numFmt w:val="bullet"/>
      <w:lvlText w:val=""/>
      <w:lvlJc w:val="left"/>
      <w:pPr>
        <w:ind w:left="4306" w:hanging="360"/>
      </w:pPr>
      <w:rPr>
        <w:rFonts w:ascii="Wingdings" w:hAnsi="Wingdings" w:hint="default"/>
      </w:rPr>
    </w:lvl>
    <w:lvl w:ilvl="6" w:tentative="1">
      <w:start w:val="1"/>
      <w:numFmt w:val="bullet"/>
      <w:lvlText w:val=""/>
      <w:lvlJc w:val="left"/>
      <w:pPr>
        <w:ind w:left="5026" w:hanging="360"/>
      </w:pPr>
      <w:rPr>
        <w:rFonts w:ascii="Symbol" w:hAnsi="Symbol" w:hint="default"/>
      </w:rPr>
    </w:lvl>
    <w:lvl w:ilvl="7" w:tentative="1">
      <w:start w:val="1"/>
      <w:numFmt w:val="bullet"/>
      <w:lvlText w:val="o"/>
      <w:lvlJc w:val="left"/>
      <w:pPr>
        <w:ind w:left="5746" w:hanging="360"/>
      </w:pPr>
      <w:rPr>
        <w:rFonts w:ascii="Courier New" w:hAnsi="Courier New" w:cs="Courier New" w:hint="default"/>
      </w:rPr>
    </w:lvl>
    <w:lvl w:ilvl="8" w:tentative="1">
      <w:start w:val="1"/>
      <w:numFmt w:val="bullet"/>
      <w:lvlText w:val=""/>
      <w:lvlJc w:val="left"/>
      <w:pPr>
        <w:ind w:left="6466" w:hanging="360"/>
      </w:pPr>
      <w:rPr>
        <w:rFonts w:ascii="Wingdings" w:hAnsi="Wingdings" w:hint="default"/>
      </w:rPr>
    </w:lvl>
  </w:abstractNum>
  <w:abstractNum w:abstractNumId="15">
    <w:nsid w:val="3FCD4B02"/>
    <w:multiLevelType w:val="hybridMultilevel"/>
    <w:tmpl w:val="8734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F183E"/>
    <w:multiLevelType w:val="hybridMultilevel"/>
    <w:tmpl w:val="64544CB0"/>
    <w:lvl w:ilvl="0" w:tplc="8B3E6B86">
      <w:numFmt w:val="bullet"/>
      <w:lvlText w:val="•"/>
      <w:lvlJc w:val="left"/>
      <w:pPr>
        <w:ind w:left="1116" w:hanging="756"/>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160280"/>
    <w:multiLevelType w:val="hybridMultilevel"/>
    <w:tmpl w:val="2BDA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F216A"/>
    <w:multiLevelType w:val="multilevel"/>
    <w:tmpl w:val="453A30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Arial" w:eastAsia="Calibri" w:hAnsi="Arial"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66B4BBD"/>
    <w:multiLevelType w:val="multilevel"/>
    <w:tmpl w:val="453A30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Arial" w:eastAsia="Calibri" w:hAnsi="Arial"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7857EC3"/>
    <w:multiLevelType w:val="multilevel"/>
    <w:tmpl w:val="453A3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520" w:hanging="720"/>
      </w:pPr>
      <w:rPr>
        <w:rFonts w:ascii="Arial" w:eastAsia="Calibri"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BC87EC7"/>
    <w:multiLevelType w:val="hybridMultilevel"/>
    <w:tmpl w:val="C94E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26E08"/>
    <w:multiLevelType w:val="hybridMultilevel"/>
    <w:tmpl w:val="D14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CE4485"/>
    <w:multiLevelType w:val="hybridMultilevel"/>
    <w:tmpl w:val="78DC08DE"/>
    <w:lvl w:ilvl="0" w:tplc="D8CCA5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060A3A"/>
    <w:multiLevelType w:val="hybridMultilevel"/>
    <w:tmpl w:val="EC2C13DE"/>
    <w:lvl w:ilvl="0" w:tplc="08090001">
      <w:start w:val="1"/>
      <w:numFmt w:val="bullet"/>
      <w:lvlText w:val=""/>
      <w:lvlJc w:val="left"/>
      <w:pPr>
        <w:ind w:left="1116" w:hanging="7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AA3D08"/>
    <w:multiLevelType w:val="hybridMultilevel"/>
    <w:tmpl w:val="328204C6"/>
    <w:lvl w:ilvl="0" w:tplc="34F4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8C664B"/>
    <w:multiLevelType w:val="hybridMultilevel"/>
    <w:tmpl w:val="C8B8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05106"/>
    <w:multiLevelType w:val="hybridMultilevel"/>
    <w:tmpl w:val="1D2C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65733F"/>
    <w:multiLevelType w:val="hybridMultilevel"/>
    <w:tmpl w:val="11846358"/>
    <w:lvl w:ilvl="0" w:tplc="B63236E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DC181B"/>
    <w:multiLevelType w:val="multilevel"/>
    <w:tmpl w:val="13FE7A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E2E37DF"/>
    <w:multiLevelType w:val="multilevel"/>
    <w:tmpl w:val="564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4321A"/>
    <w:multiLevelType w:val="multilevel"/>
    <w:tmpl w:val="9AF06D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70016C7"/>
    <w:multiLevelType w:val="hybridMultilevel"/>
    <w:tmpl w:val="0570F1E0"/>
    <w:lvl w:ilvl="0" w:tplc="04090001">
      <w:start w:val="1"/>
      <w:numFmt w:val="bullet"/>
      <w:lvlText w:val=""/>
      <w:lvlJc w:val="left"/>
      <w:pPr>
        <w:ind w:left="720" w:hanging="720"/>
      </w:pPr>
      <w:rPr>
        <w:rFonts w:ascii="Symbol" w:hAnsi="Symbol" w:hint="default"/>
        <w:sz w:val="22"/>
        <w:szCs w:val="22"/>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3">
    <w:nsid w:val="778A3D57"/>
    <w:multiLevelType w:val="hybridMultilevel"/>
    <w:tmpl w:val="CD7A7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A4E56BD"/>
    <w:multiLevelType w:val="multilevel"/>
    <w:tmpl w:val="B93E1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F397130"/>
    <w:multiLevelType w:val="hybridMultilevel"/>
    <w:tmpl w:val="1B6C4DCA"/>
    <w:lvl w:ilvl="0" w:tplc="08090001">
      <w:start w:val="1"/>
      <w:numFmt w:val="bullet"/>
      <w:lvlText w:val=""/>
      <w:lvlJc w:val="left"/>
      <w:pPr>
        <w:ind w:left="910" w:hanging="564"/>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6">
    <w:nsid w:val="7FB51246"/>
    <w:multiLevelType w:val="hybridMultilevel"/>
    <w:tmpl w:val="8A183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19"/>
  </w:num>
  <w:num w:numId="4">
    <w:abstractNumId w:val="18"/>
  </w:num>
  <w:num w:numId="5">
    <w:abstractNumId w:val="34"/>
  </w:num>
  <w:num w:numId="6">
    <w:abstractNumId w:val="31"/>
  </w:num>
  <w:num w:numId="7">
    <w:abstractNumId w:val="6"/>
  </w:num>
  <w:num w:numId="8">
    <w:abstractNumId w:val="29"/>
  </w:num>
  <w:num w:numId="9">
    <w:abstractNumId w:val="27"/>
  </w:num>
  <w:num w:numId="10">
    <w:abstractNumId w:val="17"/>
  </w:num>
  <w:num w:numId="11">
    <w:abstractNumId w:val="30"/>
  </w:num>
  <w:num w:numId="12">
    <w:abstractNumId w:val="33"/>
  </w:num>
  <w:num w:numId="13">
    <w:abstractNumId w:val="1"/>
  </w:num>
  <w:num w:numId="14">
    <w:abstractNumId w:val="36"/>
  </w:num>
  <w:num w:numId="15">
    <w:abstractNumId w:val="15"/>
  </w:num>
  <w:num w:numId="16">
    <w:abstractNumId w:val="12"/>
  </w:num>
  <w:num w:numId="17">
    <w:abstractNumId w:val="32"/>
  </w:num>
  <w:num w:numId="18">
    <w:abstractNumId w:val="0"/>
  </w:num>
  <w:num w:numId="19">
    <w:abstractNumId w:val="35"/>
  </w:num>
  <w:num w:numId="20">
    <w:abstractNumId w:val="14"/>
  </w:num>
  <w:num w:numId="21">
    <w:abstractNumId w:val="28"/>
  </w:num>
  <w:num w:numId="22">
    <w:abstractNumId w:val="2"/>
  </w:num>
  <w:num w:numId="23">
    <w:abstractNumId w:val="21"/>
  </w:num>
  <w:num w:numId="24">
    <w:abstractNumId w:val="13"/>
  </w:num>
  <w:num w:numId="25">
    <w:abstractNumId w:val="25"/>
  </w:num>
  <w:num w:numId="26">
    <w:abstractNumId w:val="22"/>
  </w:num>
  <w:num w:numId="27">
    <w:abstractNumId w:val="16"/>
  </w:num>
  <w:num w:numId="28">
    <w:abstractNumId w:val="4"/>
  </w:num>
  <w:num w:numId="29">
    <w:abstractNumId w:val="24"/>
  </w:num>
  <w:num w:numId="30">
    <w:abstractNumId w:val="7"/>
  </w:num>
  <w:num w:numId="31">
    <w:abstractNumId w:val="3"/>
  </w:num>
  <w:num w:numId="32">
    <w:abstractNumId w:val="26"/>
  </w:num>
  <w:num w:numId="33">
    <w:abstractNumId w:val="5"/>
  </w:num>
  <w:num w:numId="34">
    <w:abstractNumId w:val="8"/>
  </w:num>
  <w:num w:numId="35">
    <w:abstractNumId w:val="10"/>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02"/>
    <w:rsid w:val="000E7428"/>
    <w:rsid w:val="001476DA"/>
    <w:rsid w:val="001B5363"/>
    <w:rsid w:val="001F2002"/>
    <w:rsid w:val="002451D6"/>
    <w:rsid w:val="002617ED"/>
    <w:rsid w:val="002F0E1D"/>
    <w:rsid w:val="0030631B"/>
    <w:rsid w:val="0032651E"/>
    <w:rsid w:val="00353F5C"/>
    <w:rsid w:val="00363E56"/>
    <w:rsid w:val="00364A57"/>
    <w:rsid w:val="003915AC"/>
    <w:rsid w:val="003A2CB6"/>
    <w:rsid w:val="003B28A9"/>
    <w:rsid w:val="003C7EFA"/>
    <w:rsid w:val="00447817"/>
    <w:rsid w:val="0046241B"/>
    <w:rsid w:val="004A3E79"/>
    <w:rsid w:val="004E1D54"/>
    <w:rsid w:val="004F509A"/>
    <w:rsid w:val="005343DA"/>
    <w:rsid w:val="005E2D01"/>
    <w:rsid w:val="006453E2"/>
    <w:rsid w:val="006875C8"/>
    <w:rsid w:val="006B6436"/>
    <w:rsid w:val="006B7568"/>
    <w:rsid w:val="006D3613"/>
    <w:rsid w:val="007302FF"/>
    <w:rsid w:val="00761474"/>
    <w:rsid w:val="00822886"/>
    <w:rsid w:val="00846000"/>
    <w:rsid w:val="0085005A"/>
    <w:rsid w:val="0090299D"/>
    <w:rsid w:val="0092363C"/>
    <w:rsid w:val="00934DC5"/>
    <w:rsid w:val="00943886"/>
    <w:rsid w:val="00993B44"/>
    <w:rsid w:val="009D7B9C"/>
    <w:rsid w:val="00A02E7C"/>
    <w:rsid w:val="00A41FB2"/>
    <w:rsid w:val="00AE1866"/>
    <w:rsid w:val="00B12676"/>
    <w:rsid w:val="00B15AF6"/>
    <w:rsid w:val="00B21153"/>
    <w:rsid w:val="00B3746B"/>
    <w:rsid w:val="00B441E3"/>
    <w:rsid w:val="00B6315B"/>
    <w:rsid w:val="00B954C5"/>
    <w:rsid w:val="00BC2232"/>
    <w:rsid w:val="00C358CB"/>
    <w:rsid w:val="00C36E37"/>
    <w:rsid w:val="00CD4FF8"/>
    <w:rsid w:val="00D65B6B"/>
    <w:rsid w:val="00DC4794"/>
    <w:rsid w:val="00DD750B"/>
    <w:rsid w:val="00E16D2E"/>
    <w:rsid w:val="00E2356F"/>
    <w:rsid w:val="00E51566"/>
    <w:rsid w:val="00EE7356"/>
    <w:rsid w:val="00F80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A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02"/>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934DC5"/>
    <w:pPr>
      <w:spacing w:before="100" w:beforeAutospacing="1" w:after="100" w:afterAutospacing="1"/>
      <w:outlineLvl w:val="3"/>
    </w:pPr>
    <w:rPr>
      <w:rFonts w:ascii="Times New Roman" w:hAnsi="Times New Roman"/>
      <w:b/>
      <w:bCs/>
      <w:lang w:eastAsia="en-GB"/>
    </w:rPr>
  </w:style>
  <w:style w:type="paragraph" w:styleId="Heading5">
    <w:name w:val="heading 5"/>
    <w:basedOn w:val="Normal"/>
    <w:link w:val="Heading5Char"/>
    <w:uiPriority w:val="9"/>
    <w:qFormat/>
    <w:rsid w:val="00934DC5"/>
    <w:pPr>
      <w:spacing w:before="100" w:beforeAutospacing="1" w:after="100" w:afterAutospacing="1"/>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002"/>
    <w:rPr>
      <w:color w:val="0000FF"/>
      <w:u w:val="single"/>
    </w:rPr>
  </w:style>
  <w:style w:type="character" w:customStyle="1" w:styleId="Heading4Char">
    <w:name w:val="Heading 4 Char"/>
    <w:basedOn w:val="DefaultParagraphFont"/>
    <w:link w:val="Heading4"/>
    <w:uiPriority w:val="9"/>
    <w:rsid w:val="00934DC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34DC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934DC5"/>
    <w:rPr>
      <w:b/>
      <w:bCs/>
    </w:rPr>
  </w:style>
  <w:style w:type="paragraph" w:customStyle="1" w:styleId="Default">
    <w:name w:val="Default"/>
    <w:rsid w:val="000E74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54C5"/>
    <w:pPr>
      <w:ind w:left="720"/>
      <w:contextualSpacing/>
    </w:pPr>
  </w:style>
  <w:style w:type="paragraph" w:styleId="NormalWeb">
    <w:name w:val="Normal (Web)"/>
    <w:basedOn w:val="Normal"/>
    <w:uiPriority w:val="99"/>
    <w:semiHidden/>
    <w:unhideWhenUsed/>
    <w:rsid w:val="00C36E37"/>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4A3E79"/>
    <w:pPr>
      <w:tabs>
        <w:tab w:val="center" w:pos="4513"/>
        <w:tab w:val="right" w:pos="9026"/>
      </w:tabs>
    </w:pPr>
  </w:style>
  <w:style w:type="character" w:customStyle="1" w:styleId="HeaderChar">
    <w:name w:val="Header Char"/>
    <w:basedOn w:val="DefaultParagraphFont"/>
    <w:link w:val="Header"/>
    <w:uiPriority w:val="99"/>
    <w:rsid w:val="004A3E79"/>
    <w:rPr>
      <w:rFonts w:ascii="Arial" w:eastAsia="Times New Roman" w:hAnsi="Arial" w:cs="Times New Roman"/>
      <w:sz w:val="24"/>
      <w:szCs w:val="24"/>
    </w:rPr>
  </w:style>
  <w:style w:type="paragraph" w:styleId="Footer">
    <w:name w:val="footer"/>
    <w:basedOn w:val="Normal"/>
    <w:link w:val="FooterChar"/>
    <w:uiPriority w:val="99"/>
    <w:unhideWhenUsed/>
    <w:rsid w:val="004A3E79"/>
    <w:pPr>
      <w:tabs>
        <w:tab w:val="center" w:pos="4513"/>
        <w:tab w:val="right" w:pos="9026"/>
      </w:tabs>
    </w:pPr>
  </w:style>
  <w:style w:type="character" w:customStyle="1" w:styleId="FooterChar">
    <w:name w:val="Footer Char"/>
    <w:basedOn w:val="DefaultParagraphFont"/>
    <w:link w:val="Footer"/>
    <w:uiPriority w:val="99"/>
    <w:rsid w:val="004A3E79"/>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4A3E79"/>
    <w:rPr>
      <w:color w:val="808080"/>
      <w:shd w:val="clear" w:color="auto" w:fill="E6E6E6"/>
    </w:rPr>
  </w:style>
  <w:style w:type="character" w:styleId="CommentReference">
    <w:name w:val="annotation reference"/>
    <w:basedOn w:val="DefaultParagraphFont"/>
    <w:uiPriority w:val="99"/>
    <w:semiHidden/>
    <w:unhideWhenUsed/>
    <w:rsid w:val="00E16D2E"/>
    <w:rPr>
      <w:sz w:val="16"/>
      <w:szCs w:val="16"/>
    </w:rPr>
  </w:style>
  <w:style w:type="paragraph" w:styleId="CommentText">
    <w:name w:val="annotation text"/>
    <w:basedOn w:val="Normal"/>
    <w:link w:val="CommentTextChar"/>
    <w:uiPriority w:val="99"/>
    <w:semiHidden/>
    <w:unhideWhenUsed/>
    <w:rsid w:val="00E16D2E"/>
    <w:rPr>
      <w:sz w:val="20"/>
      <w:szCs w:val="20"/>
    </w:rPr>
  </w:style>
  <w:style w:type="character" w:customStyle="1" w:styleId="CommentTextChar">
    <w:name w:val="Comment Text Char"/>
    <w:basedOn w:val="DefaultParagraphFont"/>
    <w:link w:val="CommentText"/>
    <w:uiPriority w:val="99"/>
    <w:semiHidden/>
    <w:rsid w:val="00E16D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16D2E"/>
    <w:rPr>
      <w:b/>
      <w:bCs/>
    </w:rPr>
  </w:style>
  <w:style w:type="character" w:customStyle="1" w:styleId="CommentSubjectChar">
    <w:name w:val="Comment Subject Char"/>
    <w:basedOn w:val="CommentTextChar"/>
    <w:link w:val="CommentSubject"/>
    <w:uiPriority w:val="99"/>
    <w:semiHidden/>
    <w:rsid w:val="00E16D2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16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22886"/>
    <w:rPr>
      <w:color w:val="954F72" w:themeColor="followedHyperlink"/>
      <w:u w:val="single"/>
    </w:rPr>
  </w:style>
  <w:style w:type="paragraph" w:styleId="NoSpacing">
    <w:name w:val="No Spacing"/>
    <w:uiPriority w:val="1"/>
    <w:qFormat/>
    <w:rsid w:val="00846000"/>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02"/>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934DC5"/>
    <w:pPr>
      <w:spacing w:before="100" w:beforeAutospacing="1" w:after="100" w:afterAutospacing="1"/>
      <w:outlineLvl w:val="3"/>
    </w:pPr>
    <w:rPr>
      <w:rFonts w:ascii="Times New Roman" w:hAnsi="Times New Roman"/>
      <w:b/>
      <w:bCs/>
      <w:lang w:eastAsia="en-GB"/>
    </w:rPr>
  </w:style>
  <w:style w:type="paragraph" w:styleId="Heading5">
    <w:name w:val="heading 5"/>
    <w:basedOn w:val="Normal"/>
    <w:link w:val="Heading5Char"/>
    <w:uiPriority w:val="9"/>
    <w:qFormat/>
    <w:rsid w:val="00934DC5"/>
    <w:pPr>
      <w:spacing w:before="100" w:beforeAutospacing="1" w:after="100" w:afterAutospacing="1"/>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002"/>
    <w:rPr>
      <w:color w:val="0000FF"/>
      <w:u w:val="single"/>
    </w:rPr>
  </w:style>
  <w:style w:type="character" w:customStyle="1" w:styleId="Heading4Char">
    <w:name w:val="Heading 4 Char"/>
    <w:basedOn w:val="DefaultParagraphFont"/>
    <w:link w:val="Heading4"/>
    <w:uiPriority w:val="9"/>
    <w:rsid w:val="00934DC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34DC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934DC5"/>
    <w:rPr>
      <w:b/>
      <w:bCs/>
    </w:rPr>
  </w:style>
  <w:style w:type="paragraph" w:customStyle="1" w:styleId="Default">
    <w:name w:val="Default"/>
    <w:rsid w:val="000E74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54C5"/>
    <w:pPr>
      <w:ind w:left="720"/>
      <w:contextualSpacing/>
    </w:pPr>
  </w:style>
  <w:style w:type="paragraph" w:styleId="NormalWeb">
    <w:name w:val="Normal (Web)"/>
    <w:basedOn w:val="Normal"/>
    <w:uiPriority w:val="99"/>
    <w:semiHidden/>
    <w:unhideWhenUsed/>
    <w:rsid w:val="00C36E37"/>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4A3E79"/>
    <w:pPr>
      <w:tabs>
        <w:tab w:val="center" w:pos="4513"/>
        <w:tab w:val="right" w:pos="9026"/>
      </w:tabs>
    </w:pPr>
  </w:style>
  <w:style w:type="character" w:customStyle="1" w:styleId="HeaderChar">
    <w:name w:val="Header Char"/>
    <w:basedOn w:val="DefaultParagraphFont"/>
    <w:link w:val="Header"/>
    <w:uiPriority w:val="99"/>
    <w:rsid w:val="004A3E79"/>
    <w:rPr>
      <w:rFonts w:ascii="Arial" w:eastAsia="Times New Roman" w:hAnsi="Arial" w:cs="Times New Roman"/>
      <w:sz w:val="24"/>
      <w:szCs w:val="24"/>
    </w:rPr>
  </w:style>
  <w:style w:type="paragraph" w:styleId="Footer">
    <w:name w:val="footer"/>
    <w:basedOn w:val="Normal"/>
    <w:link w:val="FooterChar"/>
    <w:uiPriority w:val="99"/>
    <w:unhideWhenUsed/>
    <w:rsid w:val="004A3E79"/>
    <w:pPr>
      <w:tabs>
        <w:tab w:val="center" w:pos="4513"/>
        <w:tab w:val="right" w:pos="9026"/>
      </w:tabs>
    </w:pPr>
  </w:style>
  <w:style w:type="character" w:customStyle="1" w:styleId="FooterChar">
    <w:name w:val="Footer Char"/>
    <w:basedOn w:val="DefaultParagraphFont"/>
    <w:link w:val="Footer"/>
    <w:uiPriority w:val="99"/>
    <w:rsid w:val="004A3E79"/>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4A3E79"/>
    <w:rPr>
      <w:color w:val="808080"/>
      <w:shd w:val="clear" w:color="auto" w:fill="E6E6E6"/>
    </w:rPr>
  </w:style>
  <w:style w:type="character" w:styleId="CommentReference">
    <w:name w:val="annotation reference"/>
    <w:basedOn w:val="DefaultParagraphFont"/>
    <w:uiPriority w:val="99"/>
    <w:semiHidden/>
    <w:unhideWhenUsed/>
    <w:rsid w:val="00E16D2E"/>
    <w:rPr>
      <w:sz w:val="16"/>
      <w:szCs w:val="16"/>
    </w:rPr>
  </w:style>
  <w:style w:type="paragraph" w:styleId="CommentText">
    <w:name w:val="annotation text"/>
    <w:basedOn w:val="Normal"/>
    <w:link w:val="CommentTextChar"/>
    <w:uiPriority w:val="99"/>
    <w:semiHidden/>
    <w:unhideWhenUsed/>
    <w:rsid w:val="00E16D2E"/>
    <w:rPr>
      <w:sz w:val="20"/>
      <w:szCs w:val="20"/>
    </w:rPr>
  </w:style>
  <w:style w:type="character" w:customStyle="1" w:styleId="CommentTextChar">
    <w:name w:val="Comment Text Char"/>
    <w:basedOn w:val="DefaultParagraphFont"/>
    <w:link w:val="CommentText"/>
    <w:uiPriority w:val="99"/>
    <w:semiHidden/>
    <w:rsid w:val="00E16D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16D2E"/>
    <w:rPr>
      <w:b/>
      <w:bCs/>
    </w:rPr>
  </w:style>
  <w:style w:type="character" w:customStyle="1" w:styleId="CommentSubjectChar">
    <w:name w:val="Comment Subject Char"/>
    <w:basedOn w:val="CommentTextChar"/>
    <w:link w:val="CommentSubject"/>
    <w:uiPriority w:val="99"/>
    <w:semiHidden/>
    <w:rsid w:val="00E16D2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16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22886"/>
    <w:rPr>
      <w:color w:val="954F72" w:themeColor="followedHyperlink"/>
      <w:u w:val="single"/>
    </w:rPr>
  </w:style>
  <w:style w:type="paragraph" w:styleId="NoSpacing">
    <w:name w:val="No Spacing"/>
    <w:uiPriority w:val="1"/>
    <w:qFormat/>
    <w:rsid w:val="00846000"/>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2019">
      <w:bodyDiv w:val="1"/>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sChild>
            <w:div w:id="543560391">
              <w:marLeft w:val="0"/>
              <w:marRight w:val="0"/>
              <w:marTop w:val="0"/>
              <w:marBottom w:val="0"/>
              <w:divBdr>
                <w:top w:val="none" w:sz="0" w:space="0" w:color="auto"/>
                <w:left w:val="none" w:sz="0" w:space="0" w:color="auto"/>
                <w:bottom w:val="none" w:sz="0" w:space="0" w:color="auto"/>
                <w:right w:val="none" w:sz="0" w:space="0" w:color="auto"/>
              </w:divBdr>
              <w:divsChild>
                <w:div w:id="1944612382">
                  <w:marLeft w:val="0"/>
                  <w:marRight w:val="0"/>
                  <w:marTop w:val="0"/>
                  <w:marBottom w:val="0"/>
                  <w:divBdr>
                    <w:top w:val="none" w:sz="0" w:space="0" w:color="auto"/>
                    <w:left w:val="none" w:sz="0" w:space="0" w:color="auto"/>
                    <w:bottom w:val="none" w:sz="0" w:space="0" w:color="auto"/>
                    <w:right w:val="none" w:sz="0" w:space="0" w:color="auto"/>
                  </w:divBdr>
                  <w:divsChild>
                    <w:div w:id="6072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8527">
      <w:bodyDiv w:val="1"/>
      <w:marLeft w:val="0"/>
      <w:marRight w:val="0"/>
      <w:marTop w:val="0"/>
      <w:marBottom w:val="0"/>
      <w:divBdr>
        <w:top w:val="none" w:sz="0" w:space="0" w:color="auto"/>
        <w:left w:val="none" w:sz="0" w:space="0" w:color="auto"/>
        <w:bottom w:val="none" w:sz="0" w:space="0" w:color="auto"/>
        <w:right w:val="none" w:sz="0" w:space="0" w:color="auto"/>
      </w:divBdr>
      <w:divsChild>
        <w:div w:id="430007517">
          <w:marLeft w:val="0"/>
          <w:marRight w:val="0"/>
          <w:marTop w:val="0"/>
          <w:marBottom w:val="0"/>
          <w:divBdr>
            <w:top w:val="none" w:sz="0" w:space="0" w:color="auto"/>
            <w:left w:val="none" w:sz="0" w:space="0" w:color="auto"/>
            <w:bottom w:val="none" w:sz="0" w:space="0" w:color="auto"/>
            <w:right w:val="none" w:sz="0" w:space="0" w:color="auto"/>
          </w:divBdr>
          <w:divsChild>
            <w:div w:id="889609823">
              <w:marLeft w:val="0"/>
              <w:marRight w:val="0"/>
              <w:marTop w:val="0"/>
              <w:marBottom w:val="0"/>
              <w:divBdr>
                <w:top w:val="none" w:sz="0" w:space="0" w:color="auto"/>
                <w:left w:val="none" w:sz="0" w:space="0" w:color="auto"/>
                <w:bottom w:val="none" w:sz="0" w:space="0" w:color="auto"/>
                <w:right w:val="none" w:sz="0" w:space="0" w:color="auto"/>
              </w:divBdr>
              <w:divsChild>
                <w:div w:id="1112553751">
                  <w:marLeft w:val="0"/>
                  <w:marRight w:val="0"/>
                  <w:marTop w:val="0"/>
                  <w:marBottom w:val="0"/>
                  <w:divBdr>
                    <w:top w:val="none" w:sz="0" w:space="0" w:color="auto"/>
                    <w:left w:val="none" w:sz="0" w:space="0" w:color="auto"/>
                    <w:bottom w:val="none" w:sz="0" w:space="0" w:color="auto"/>
                    <w:right w:val="none" w:sz="0" w:space="0" w:color="auto"/>
                  </w:divBdr>
                  <w:divsChild>
                    <w:div w:id="6875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58810">
      <w:bodyDiv w:val="1"/>
      <w:marLeft w:val="0"/>
      <w:marRight w:val="0"/>
      <w:marTop w:val="0"/>
      <w:marBottom w:val="0"/>
      <w:divBdr>
        <w:top w:val="none" w:sz="0" w:space="0" w:color="auto"/>
        <w:left w:val="none" w:sz="0" w:space="0" w:color="auto"/>
        <w:bottom w:val="none" w:sz="0" w:space="0" w:color="auto"/>
        <w:right w:val="none" w:sz="0" w:space="0" w:color="auto"/>
      </w:divBdr>
      <w:divsChild>
        <w:div w:id="1381437833">
          <w:marLeft w:val="0"/>
          <w:marRight w:val="0"/>
          <w:marTop w:val="0"/>
          <w:marBottom w:val="0"/>
          <w:divBdr>
            <w:top w:val="none" w:sz="0" w:space="0" w:color="auto"/>
            <w:left w:val="none" w:sz="0" w:space="0" w:color="auto"/>
            <w:bottom w:val="none" w:sz="0" w:space="0" w:color="auto"/>
            <w:right w:val="none" w:sz="0" w:space="0" w:color="auto"/>
          </w:divBdr>
          <w:divsChild>
            <w:div w:id="1349454214">
              <w:marLeft w:val="0"/>
              <w:marRight w:val="0"/>
              <w:marTop w:val="0"/>
              <w:marBottom w:val="0"/>
              <w:divBdr>
                <w:top w:val="none" w:sz="0" w:space="0" w:color="auto"/>
                <w:left w:val="none" w:sz="0" w:space="0" w:color="auto"/>
                <w:bottom w:val="none" w:sz="0" w:space="0" w:color="auto"/>
                <w:right w:val="none" w:sz="0" w:space="0" w:color="auto"/>
              </w:divBdr>
              <w:divsChild>
                <w:div w:id="367727910">
                  <w:marLeft w:val="0"/>
                  <w:marRight w:val="0"/>
                  <w:marTop w:val="0"/>
                  <w:marBottom w:val="0"/>
                  <w:divBdr>
                    <w:top w:val="none" w:sz="0" w:space="0" w:color="auto"/>
                    <w:left w:val="none" w:sz="0" w:space="0" w:color="auto"/>
                    <w:bottom w:val="none" w:sz="0" w:space="0" w:color="auto"/>
                    <w:right w:val="none" w:sz="0" w:space="0" w:color="auto"/>
                  </w:divBdr>
                  <w:divsChild>
                    <w:div w:id="2034383556">
                      <w:marLeft w:val="0"/>
                      <w:marRight w:val="0"/>
                      <w:marTop w:val="0"/>
                      <w:marBottom w:val="0"/>
                      <w:divBdr>
                        <w:top w:val="none" w:sz="0" w:space="0" w:color="auto"/>
                        <w:left w:val="none" w:sz="0" w:space="0" w:color="auto"/>
                        <w:bottom w:val="none" w:sz="0" w:space="0" w:color="auto"/>
                        <w:right w:val="none" w:sz="0" w:space="0" w:color="auto"/>
                      </w:divBdr>
                      <w:divsChild>
                        <w:div w:id="364913039">
                          <w:marLeft w:val="0"/>
                          <w:marRight w:val="0"/>
                          <w:marTop w:val="0"/>
                          <w:marBottom w:val="0"/>
                          <w:divBdr>
                            <w:top w:val="none" w:sz="0" w:space="0" w:color="auto"/>
                            <w:left w:val="none" w:sz="0" w:space="0" w:color="auto"/>
                            <w:bottom w:val="none" w:sz="0" w:space="0" w:color="auto"/>
                            <w:right w:val="none" w:sz="0" w:space="0" w:color="auto"/>
                          </w:divBdr>
                          <w:divsChild>
                            <w:div w:id="12770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85712">
      <w:bodyDiv w:val="1"/>
      <w:marLeft w:val="0"/>
      <w:marRight w:val="0"/>
      <w:marTop w:val="0"/>
      <w:marBottom w:val="0"/>
      <w:divBdr>
        <w:top w:val="none" w:sz="0" w:space="0" w:color="auto"/>
        <w:left w:val="none" w:sz="0" w:space="0" w:color="auto"/>
        <w:bottom w:val="none" w:sz="0" w:space="0" w:color="auto"/>
        <w:right w:val="none" w:sz="0" w:space="0" w:color="auto"/>
      </w:divBdr>
      <w:divsChild>
        <w:div w:id="1053037669">
          <w:marLeft w:val="0"/>
          <w:marRight w:val="0"/>
          <w:marTop w:val="0"/>
          <w:marBottom w:val="0"/>
          <w:divBdr>
            <w:top w:val="none" w:sz="0" w:space="0" w:color="auto"/>
            <w:left w:val="none" w:sz="0" w:space="0" w:color="auto"/>
            <w:bottom w:val="none" w:sz="0" w:space="0" w:color="auto"/>
            <w:right w:val="none" w:sz="0" w:space="0" w:color="auto"/>
          </w:divBdr>
          <w:divsChild>
            <w:div w:id="221912558">
              <w:marLeft w:val="0"/>
              <w:marRight w:val="0"/>
              <w:marTop w:val="0"/>
              <w:marBottom w:val="0"/>
              <w:divBdr>
                <w:top w:val="none" w:sz="0" w:space="0" w:color="auto"/>
                <w:left w:val="none" w:sz="0" w:space="0" w:color="auto"/>
                <w:bottom w:val="none" w:sz="0" w:space="0" w:color="auto"/>
                <w:right w:val="none" w:sz="0" w:space="0" w:color="auto"/>
              </w:divBdr>
              <w:divsChild>
                <w:div w:id="1427458660">
                  <w:marLeft w:val="0"/>
                  <w:marRight w:val="0"/>
                  <w:marTop w:val="0"/>
                  <w:marBottom w:val="0"/>
                  <w:divBdr>
                    <w:top w:val="none" w:sz="0" w:space="0" w:color="auto"/>
                    <w:left w:val="none" w:sz="0" w:space="0" w:color="auto"/>
                    <w:bottom w:val="none" w:sz="0" w:space="0" w:color="auto"/>
                    <w:right w:val="none" w:sz="0" w:space="0" w:color="auto"/>
                  </w:divBdr>
                  <w:divsChild>
                    <w:div w:id="1130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o.org.uk/NOO_about_obesity/obesity_and_health/health_risk_adu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ice.org.uk/guidance/qs111" TargetMode="External"/><Relationship Id="rId4" Type="http://schemas.microsoft.com/office/2007/relationships/stylesWithEffects" Target="stylesWithEffects.xml"/><Relationship Id="rId9" Type="http://schemas.openxmlformats.org/officeDocument/2006/relationships/hyperlink" Target="https://www.nice.org.uk/guidance/ph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B360-1B5A-4DA1-8534-C3FF21E0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Frampton</dc:creator>
  <cp:lastModifiedBy>Paige Dawson</cp:lastModifiedBy>
  <cp:revision>2</cp:revision>
  <dcterms:created xsi:type="dcterms:W3CDTF">2020-02-21T16:11:00Z</dcterms:created>
  <dcterms:modified xsi:type="dcterms:W3CDTF">2020-02-21T16:11:00Z</dcterms:modified>
</cp:coreProperties>
</file>