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9C" w:rsidRPr="00F16235" w:rsidRDefault="0073179C" w:rsidP="0073179C">
      <w:pPr>
        <w:spacing w:after="0" w:line="240" w:lineRule="auto"/>
        <w:jc w:val="right"/>
        <w:rPr>
          <w:b/>
          <w:sz w:val="20"/>
        </w:rPr>
      </w:pPr>
      <w:r>
        <w:rPr>
          <w:noProof/>
          <w:szCs w:val="24"/>
          <w:lang w:eastAsia="en-GB"/>
        </w:rPr>
        <w:drawing>
          <wp:anchor distT="0" distB="0" distL="114300" distR="114300" simplePos="0" relativeHeight="251666432" behindDoc="0" locked="0" layoutInCell="1" allowOverlap="1" wp14:anchorId="5D5AC465" wp14:editId="7E2D43C9">
            <wp:simplePos x="0" y="0"/>
            <wp:positionH relativeFrom="column">
              <wp:posOffset>2546985</wp:posOffset>
            </wp:positionH>
            <wp:positionV relativeFrom="paragraph">
              <wp:posOffset>-118745</wp:posOffset>
            </wp:positionV>
            <wp:extent cx="3190875" cy="419100"/>
            <wp:effectExtent l="0" t="0" r="9525" b="0"/>
            <wp:wrapNone/>
            <wp:docPr id="7" name="Picture 7"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298E61D8" wp14:editId="564C5DA1">
                <wp:simplePos x="0" y="0"/>
                <wp:positionH relativeFrom="column">
                  <wp:posOffset>114300</wp:posOffset>
                </wp:positionH>
                <wp:positionV relativeFrom="paragraph">
                  <wp:posOffset>1791970</wp:posOffset>
                </wp:positionV>
                <wp:extent cx="4800600" cy="914400"/>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79C" w:rsidRPr="0073179C" w:rsidRDefault="0073179C" w:rsidP="0073179C">
                            <w:pPr>
                              <w:jc w:val="center"/>
                              <w:rPr>
                                <w:rFonts w:ascii="Arial" w:hAnsi="Arial" w:cs="Arial"/>
                                <w:b/>
                                <w:sz w:val="52"/>
                                <w:szCs w:val="52"/>
                              </w:rPr>
                            </w:pPr>
                            <w:r>
                              <w:rPr>
                                <w:rFonts w:ascii="Arial" w:hAnsi="Arial" w:cs="Arial"/>
                                <w:b/>
                                <w:sz w:val="52"/>
                                <w:szCs w:val="52"/>
                              </w:rPr>
                              <w:t>BUDGET MANAGEMENT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41.1pt;width:378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8EsgIAALk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" filled="f" stroked="f">
                <v:textbox>
                  <w:txbxContent>
                    <w:p w:rsidR="0073179C" w:rsidRPr="0073179C" w:rsidRDefault="0073179C" w:rsidP="0073179C">
                      <w:pPr>
                        <w:jc w:val="center"/>
                        <w:rPr>
                          <w:rFonts w:ascii="Arial" w:hAnsi="Arial" w:cs="Arial"/>
                          <w:b/>
                          <w:sz w:val="52"/>
                          <w:szCs w:val="52"/>
                        </w:rPr>
                      </w:pPr>
                      <w:r>
                        <w:rPr>
                          <w:rFonts w:ascii="Arial" w:hAnsi="Arial" w:cs="Arial"/>
                          <w:b/>
                          <w:sz w:val="52"/>
                          <w:szCs w:val="52"/>
                        </w:rPr>
                        <w:t>BUDGET MANAGEMENT POLICY</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AB0D23D" wp14:editId="7C7E4573">
                <wp:simplePos x="0" y="0"/>
                <wp:positionH relativeFrom="column">
                  <wp:posOffset>1431925</wp:posOffset>
                </wp:positionH>
                <wp:positionV relativeFrom="paragraph">
                  <wp:posOffset>2417445</wp:posOffset>
                </wp:positionV>
                <wp:extent cx="6657340" cy="11349990"/>
                <wp:effectExtent l="892175" t="3070225" r="0" b="445135"/>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2.75pt;margin-top:190.35pt;width:524.2pt;height:893.7pt;rotation:-86142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" adj="15321" fillcolor="#4f81bd" strokecolor="#0070c0" strokeweight="2pt">
                <v:shadow on="t" type="double" color="#0070c0" opacity=".5" color2="shadow add(102)" offset="-3pt,-3pt" offset2="-6pt,-6pt"/>
              </v:shape>
            </w:pict>
          </mc:Fallback>
        </mc:AlternateContent>
      </w:r>
      <w:r>
        <w:t xml:space="preserve">      </w:t>
      </w:r>
    </w:p>
    <w:p w:rsidR="0073179C" w:rsidRPr="00F16235" w:rsidRDefault="0073179C" w:rsidP="0073179C">
      <w:pPr>
        <w:rPr>
          <w:b/>
          <w:sz w:val="20"/>
        </w:rPr>
      </w:pPr>
    </w:p>
    <w:p w:rsidR="0073179C" w:rsidRPr="004231B6" w:rsidRDefault="0073179C" w:rsidP="0073179C">
      <w:pPr>
        <w:jc w:val="right"/>
        <w:rPr>
          <w:rFonts w:ascii="Arial" w:hAnsi="Arial" w:cs="Arial"/>
          <w:b/>
          <w:color w:val="000000" w:themeColor="text1"/>
        </w:rPr>
      </w:pPr>
      <w:r w:rsidRPr="004231B6">
        <w:rPr>
          <w:rFonts w:ascii="Arial" w:hAnsi="Arial" w:cs="Arial"/>
          <w:b/>
          <w:color w:val="000000" w:themeColor="text1"/>
        </w:rPr>
        <w:t xml:space="preserve">Putting Barnsley People First </w:t>
      </w:r>
    </w:p>
    <w:p w:rsidR="0073179C" w:rsidRPr="00F16235" w:rsidRDefault="0073179C" w:rsidP="0073179C">
      <w:pPr>
        <w:ind w:left="1440" w:firstLine="720"/>
        <w:jc w:val="right"/>
        <w:rPr>
          <w:b/>
          <w:sz w:val="20"/>
        </w:rPr>
      </w:pPr>
      <w:r>
        <w:rPr>
          <w:b/>
          <w:sz w:val="20"/>
        </w:rPr>
        <w:t xml:space="preserve">      </w:t>
      </w:r>
    </w:p>
    <w:p w:rsidR="0073179C" w:rsidRDefault="0073179C">
      <w:pPr>
        <w:rPr>
          <w:rFonts w:ascii="Arial" w:hAnsi="Arial" w:cs="Arial"/>
          <w:b/>
          <w:color w:val="000000"/>
          <w:sz w:val="24"/>
          <w:szCs w:val="24"/>
        </w:rPr>
      </w:pPr>
    </w:p>
    <w:p w:rsidR="00860A4D" w:rsidRDefault="00860A4D">
      <w:pPr>
        <w:rPr>
          <w:rFonts w:ascii="Arial" w:hAnsi="Arial" w:cs="Arial"/>
          <w:b/>
          <w:color w:val="000000"/>
          <w:sz w:val="24"/>
          <w:szCs w:val="24"/>
        </w:rPr>
      </w:pPr>
    </w:p>
    <w:p w:rsidR="00860A4D" w:rsidRDefault="00860A4D">
      <w:pPr>
        <w:rPr>
          <w:rFonts w:ascii="Arial" w:hAnsi="Arial" w:cs="Arial"/>
          <w:b/>
          <w:color w:val="000000"/>
          <w:sz w:val="24"/>
          <w:szCs w:val="24"/>
        </w:rPr>
      </w:pPr>
      <w:r>
        <w:rPr>
          <w:rFonts w:ascii="Arial" w:hAnsi="Arial" w:cs="Arial"/>
          <w:b/>
          <w:color w:val="000000"/>
          <w:sz w:val="24"/>
          <w:szCs w:val="24"/>
        </w:rPr>
        <w:br w:type="page"/>
      </w:r>
    </w:p>
    <w:tbl>
      <w:tblPr>
        <w:tblStyle w:val="TableGrid"/>
        <w:tblpPr w:leftFromText="180" w:rightFromText="180" w:vertAnchor="page" w:horzAnchor="margin" w:tblpXSpec="center" w:tblpY="443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8506"/>
      </w:tblGrid>
      <w:tr w:rsidR="00860A4D" w:rsidRPr="004231B6" w:rsidTr="003C6034">
        <w:trPr>
          <w:trHeight w:val="2037"/>
        </w:trPr>
        <w:tc>
          <w:tcPr>
            <w:tcW w:w="8506" w:type="dxa"/>
          </w:tcPr>
          <w:p w:rsidR="00860A4D" w:rsidRPr="004231B6" w:rsidRDefault="00860A4D" w:rsidP="003C6034">
            <w:pPr>
              <w:pStyle w:val="Header"/>
              <w:jc w:val="center"/>
              <w:rPr>
                <w:rFonts w:ascii="Arial" w:hAnsi="Arial" w:cs="Arial"/>
                <w:b/>
                <w:sz w:val="36"/>
                <w:szCs w:val="36"/>
              </w:rPr>
            </w:pPr>
          </w:p>
          <w:p w:rsidR="00860A4D" w:rsidRDefault="00860A4D" w:rsidP="003C6034">
            <w:pPr>
              <w:pStyle w:val="Header"/>
              <w:jc w:val="center"/>
              <w:rPr>
                <w:rFonts w:ascii="Arial" w:hAnsi="Arial" w:cs="Arial"/>
                <w:b/>
                <w:noProof/>
                <w:sz w:val="32"/>
                <w:szCs w:val="32"/>
              </w:rPr>
            </w:pPr>
            <w:r w:rsidRPr="004231B6">
              <w:rPr>
                <w:rFonts w:ascii="Arial" w:hAnsi="Arial" w:cs="Arial"/>
                <w:b/>
                <w:noProof/>
                <w:sz w:val="32"/>
                <w:szCs w:val="32"/>
              </w:rPr>
              <w:t>BARNSLEY CLINICAL COMMISSIONING</w:t>
            </w:r>
            <w:r>
              <w:rPr>
                <w:rFonts w:ascii="Arial" w:hAnsi="Arial" w:cs="Arial"/>
                <w:b/>
                <w:noProof/>
                <w:sz w:val="32"/>
                <w:szCs w:val="32"/>
              </w:rPr>
              <w:t xml:space="preserve"> GROUP</w:t>
            </w:r>
          </w:p>
          <w:p w:rsidR="00860A4D" w:rsidRDefault="00860A4D" w:rsidP="003C6034">
            <w:pPr>
              <w:pStyle w:val="Header"/>
              <w:jc w:val="center"/>
              <w:rPr>
                <w:rFonts w:ascii="Arial" w:hAnsi="Arial" w:cs="Arial"/>
                <w:b/>
                <w:noProof/>
                <w:sz w:val="32"/>
                <w:szCs w:val="32"/>
              </w:rPr>
            </w:pPr>
            <w:r w:rsidRPr="004231B6">
              <w:rPr>
                <w:rFonts w:ascii="Arial" w:hAnsi="Arial" w:cs="Arial"/>
                <w:b/>
                <w:noProof/>
                <w:sz w:val="32"/>
                <w:szCs w:val="32"/>
              </w:rPr>
              <w:t xml:space="preserve"> </w:t>
            </w:r>
          </w:p>
          <w:p w:rsidR="00860A4D" w:rsidRPr="004231B6" w:rsidRDefault="004F74A4" w:rsidP="004F74A4">
            <w:pPr>
              <w:pStyle w:val="Header"/>
              <w:jc w:val="center"/>
              <w:rPr>
                <w:rFonts w:ascii="Arial" w:hAnsi="Arial" w:cs="Arial"/>
                <w:b/>
                <w:noProof/>
                <w:szCs w:val="24"/>
              </w:rPr>
            </w:pPr>
            <w:r>
              <w:rPr>
                <w:rFonts w:ascii="Arial" w:hAnsi="Arial" w:cs="Arial"/>
                <w:b/>
                <w:noProof/>
                <w:sz w:val="32"/>
                <w:szCs w:val="32"/>
              </w:rPr>
              <w:t>BUDGET MANAGEMENT POLICY</w:t>
            </w:r>
          </w:p>
        </w:tc>
      </w:tr>
    </w:tbl>
    <w:p w:rsidR="00860A4D" w:rsidRPr="007F04E1" w:rsidRDefault="00860A4D" w:rsidP="00860A4D">
      <w:pPr>
        <w:jc w:val="right"/>
      </w:pPr>
      <w:r>
        <w:rPr>
          <w:noProof/>
          <w:szCs w:val="24"/>
          <w:lang w:eastAsia="en-GB"/>
        </w:rPr>
        <w:drawing>
          <wp:anchor distT="0" distB="0" distL="114300" distR="114300" simplePos="0" relativeHeight="251668480" behindDoc="0" locked="0" layoutInCell="1" allowOverlap="1" wp14:anchorId="133B3E12" wp14:editId="62C90497">
            <wp:simplePos x="0" y="0"/>
            <wp:positionH relativeFrom="column">
              <wp:posOffset>2546985</wp:posOffset>
            </wp:positionH>
            <wp:positionV relativeFrom="paragraph">
              <wp:posOffset>33655</wp:posOffset>
            </wp:positionV>
            <wp:extent cx="3190875" cy="419100"/>
            <wp:effectExtent l="0" t="0" r="9525" b="0"/>
            <wp:wrapNone/>
            <wp:docPr id="9" name="Picture 9"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419100"/>
                    </a:xfrm>
                    <a:prstGeom prst="rect">
                      <a:avLst/>
                    </a:prstGeom>
                    <a:noFill/>
                  </pic:spPr>
                </pic:pic>
              </a:graphicData>
            </a:graphic>
            <wp14:sizeRelH relativeFrom="page">
              <wp14:pctWidth>0</wp14:pctWidth>
            </wp14:sizeRelH>
            <wp14:sizeRelV relativeFrom="page">
              <wp14:pctHeight>0</wp14:pctHeight>
            </wp14:sizeRelV>
          </wp:anchor>
        </w:drawing>
      </w:r>
    </w:p>
    <w:p w:rsidR="00860A4D" w:rsidRDefault="00860A4D" w:rsidP="00860A4D"/>
    <w:p w:rsidR="00860A4D" w:rsidRPr="004231B6" w:rsidRDefault="00860A4D" w:rsidP="00860A4D">
      <w:pPr>
        <w:jc w:val="right"/>
        <w:rPr>
          <w:rFonts w:ascii="Arial" w:hAnsi="Arial" w:cs="Arial"/>
          <w:b/>
          <w:color w:val="000000" w:themeColor="text1"/>
        </w:rPr>
      </w:pPr>
      <w:r w:rsidRPr="004231B6">
        <w:rPr>
          <w:rFonts w:ascii="Arial" w:hAnsi="Arial" w:cs="Arial"/>
          <w:b/>
          <w:color w:val="000000" w:themeColor="text1"/>
        </w:rPr>
        <w:t xml:space="preserve">Putting Barnsley People First </w:t>
      </w:r>
    </w:p>
    <w:p w:rsidR="00860A4D" w:rsidRPr="007F04E1" w:rsidRDefault="00860A4D" w:rsidP="00860A4D">
      <w:pPr>
        <w:jc w:val="right"/>
      </w:pPr>
    </w:p>
    <w:p w:rsidR="00860A4D" w:rsidRPr="007F04E1" w:rsidRDefault="00860A4D" w:rsidP="00860A4D">
      <w:pPr>
        <w:tabs>
          <w:tab w:val="left" w:pos="2247"/>
        </w:tabs>
      </w:pPr>
    </w:p>
    <w:tbl>
      <w:tblPr>
        <w:tblStyle w:val="TableGrid"/>
        <w:tblpPr w:leftFromText="180" w:rightFromText="180" w:vertAnchor="text" w:horzAnchor="margin" w:tblpY="5061"/>
        <w:tblW w:w="0" w:type="auto"/>
        <w:tblLook w:val="04A0" w:firstRow="1" w:lastRow="0" w:firstColumn="1" w:lastColumn="0" w:noHBand="0" w:noVBand="1"/>
      </w:tblPr>
      <w:tblGrid>
        <w:gridCol w:w="5353"/>
        <w:gridCol w:w="3889"/>
      </w:tblGrid>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Version:</w:t>
            </w:r>
          </w:p>
        </w:tc>
        <w:tc>
          <w:tcPr>
            <w:tcW w:w="3889" w:type="dxa"/>
            <w:shd w:val="clear" w:color="auto" w:fill="EEECE1" w:themeFill="background2"/>
          </w:tcPr>
          <w:p w:rsidR="00860A4D" w:rsidRPr="004231B6" w:rsidRDefault="004F74A4" w:rsidP="003C6034">
            <w:pPr>
              <w:jc w:val="both"/>
              <w:rPr>
                <w:rFonts w:ascii="Arial" w:hAnsi="Arial" w:cs="Arial"/>
              </w:rPr>
            </w:pPr>
            <w:r>
              <w:rPr>
                <w:rFonts w:ascii="Arial" w:hAnsi="Arial" w:cs="Arial"/>
              </w:rPr>
              <w:t>V1.1</w:t>
            </w:r>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Approved By:</w:t>
            </w:r>
          </w:p>
        </w:tc>
        <w:tc>
          <w:tcPr>
            <w:tcW w:w="3889" w:type="dxa"/>
            <w:shd w:val="clear" w:color="auto" w:fill="EEECE1" w:themeFill="background2"/>
          </w:tcPr>
          <w:p w:rsidR="00860A4D" w:rsidRPr="004231B6" w:rsidRDefault="007B5674" w:rsidP="003C6034">
            <w:pPr>
              <w:jc w:val="both"/>
              <w:rPr>
                <w:rFonts w:ascii="Arial" w:hAnsi="Arial" w:cs="Arial"/>
              </w:rPr>
            </w:pPr>
            <w:r>
              <w:rPr>
                <w:rFonts w:ascii="Arial" w:hAnsi="Arial" w:cs="Arial"/>
              </w:rPr>
              <w:t>Governing Body</w:t>
            </w:r>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Date Approved:</w:t>
            </w:r>
          </w:p>
        </w:tc>
        <w:tc>
          <w:tcPr>
            <w:tcW w:w="3889" w:type="dxa"/>
            <w:shd w:val="clear" w:color="auto" w:fill="EEECE1" w:themeFill="background2"/>
          </w:tcPr>
          <w:p w:rsidR="00860A4D" w:rsidRPr="004231B6" w:rsidRDefault="00A95284" w:rsidP="003C6034">
            <w:pPr>
              <w:jc w:val="both"/>
              <w:rPr>
                <w:rFonts w:ascii="Arial" w:hAnsi="Arial" w:cs="Arial"/>
              </w:rPr>
            </w:pPr>
            <w:r>
              <w:rPr>
                <w:rFonts w:ascii="Arial" w:hAnsi="Arial" w:cs="Arial"/>
              </w:rPr>
              <w:t>October 2019</w:t>
            </w:r>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Name of originator / author:</w:t>
            </w:r>
          </w:p>
        </w:tc>
        <w:tc>
          <w:tcPr>
            <w:tcW w:w="3889" w:type="dxa"/>
            <w:shd w:val="clear" w:color="auto" w:fill="EEECE1" w:themeFill="background2"/>
          </w:tcPr>
          <w:p w:rsidR="00860A4D" w:rsidRDefault="004F74A4" w:rsidP="003C6034">
            <w:pPr>
              <w:rPr>
                <w:rFonts w:ascii="Arial" w:hAnsi="Arial" w:cs="Arial"/>
              </w:rPr>
            </w:pPr>
            <w:r>
              <w:rPr>
                <w:rFonts w:ascii="Arial" w:hAnsi="Arial" w:cs="Arial"/>
              </w:rPr>
              <w:t xml:space="preserve">Adrian Bailey - </w:t>
            </w:r>
            <w:r>
              <w:t xml:space="preserve"> </w:t>
            </w:r>
            <w:r w:rsidRPr="004F74A4">
              <w:rPr>
                <w:rFonts w:ascii="Arial" w:hAnsi="Arial" w:cs="Arial"/>
              </w:rPr>
              <w:t>Head of Finance: Statutory Accounts and Financial Reporting</w:t>
            </w:r>
          </w:p>
          <w:p w:rsidR="00860A4D" w:rsidRPr="004231B6" w:rsidRDefault="00860A4D" w:rsidP="003C6034">
            <w:pPr>
              <w:rPr>
                <w:rFonts w:ascii="Arial" w:hAnsi="Arial" w:cs="Arial"/>
              </w:rPr>
            </w:pPr>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Name of responsible committee/ individual:</w:t>
            </w:r>
          </w:p>
        </w:tc>
        <w:tc>
          <w:tcPr>
            <w:tcW w:w="3889" w:type="dxa"/>
            <w:shd w:val="clear" w:color="auto" w:fill="EEECE1" w:themeFill="background2"/>
          </w:tcPr>
          <w:p w:rsidR="00860A4D" w:rsidRPr="006268DD" w:rsidRDefault="00860A4D" w:rsidP="003C6034">
            <w:pPr>
              <w:rPr>
                <w:rFonts w:ascii="Arial" w:hAnsi="Arial" w:cs="Arial"/>
              </w:rPr>
            </w:pPr>
            <w:r w:rsidRPr="006268DD">
              <w:rPr>
                <w:rFonts w:ascii="Arial" w:hAnsi="Arial" w:cs="Arial"/>
              </w:rPr>
              <w:t>Governing Body (Approval)</w:t>
            </w:r>
          </w:p>
          <w:p w:rsidR="00860A4D" w:rsidRPr="004231B6" w:rsidRDefault="00860A4D" w:rsidP="003C6034">
            <w:pPr>
              <w:rPr>
                <w:rFonts w:ascii="Arial" w:hAnsi="Arial" w:cs="Arial"/>
              </w:rPr>
            </w:pPr>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Name of executive lead:</w:t>
            </w:r>
          </w:p>
        </w:tc>
        <w:tc>
          <w:tcPr>
            <w:tcW w:w="3889" w:type="dxa"/>
            <w:shd w:val="clear" w:color="auto" w:fill="EEECE1" w:themeFill="background2"/>
          </w:tcPr>
          <w:p w:rsidR="00860A4D" w:rsidRDefault="004F74A4" w:rsidP="003C6034">
            <w:pPr>
              <w:rPr>
                <w:rFonts w:ascii="Arial" w:hAnsi="Arial" w:cs="Arial"/>
              </w:rPr>
            </w:pPr>
            <w:r>
              <w:rPr>
                <w:rFonts w:ascii="Arial" w:hAnsi="Arial" w:cs="Arial"/>
              </w:rPr>
              <w:t>Roxanna Naylor</w:t>
            </w:r>
            <w:r w:rsidR="002F5AA6">
              <w:rPr>
                <w:rFonts w:ascii="Arial" w:hAnsi="Arial" w:cs="Arial"/>
              </w:rPr>
              <w:t>, Acting Chief Finance Officer</w:t>
            </w:r>
          </w:p>
          <w:p w:rsidR="002F5AA6" w:rsidRPr="004231B6" w:rsidRDefault="002F5AA6" w:rsidP="003C6034">
            <w:pPr>
              <w:rPr>
                <w:rFonts w:ascii="Arial" w:hAnsi="Arial" w:cs="Arial"/>
              </w:rPr>
            </w:pPr>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Date issued:</w:t>
            </w:r>
          </w:p>
        </w:tc>
        <w:tc>
          <w:tcPr>
            <w:tcW w:w="3889" w:type="dxa"/>
            <w:shd w:val="clear" w:color="auto" w:fill="EEECE1" w:themeFill="background2"/>
          </w:tcPr>
          <w:p w:rsidR="00860A4D" w:rsidRPr="004231B6" w:rsidRDefault="00A95284" w:rsidP="003C6034">
            <w:pPr>
              <w:rPr>
                <w:rFonts w:ascii="Arial" w:hAnsi="Arial" w:cs="Arial"/>
              </w:rPr>
            </w:pPr>
            <w:r>
              <w:rPr>
                <w:rFonts w:ascii="Arial" w:hAnsi="Arial" w:cs="Arial"/>
              </w:rPr>
              <w:t>October 2019</w:t>
            </w:r>
            <w:bookmarkStart w:id="0" w:name="_GoBack"/>
            <w:bookmarkEnd w:id="0"/>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Review Date:</w:t>
            </w:r>
          </w:p>
        </w:tc>
        <w:tc>
          <w:tcPr>
            <w:tcW w:w="3889" w:type="dxa"/>
            <w:shd w:val="clear" w:color="auto" w:fill="EEECE1" w:themeFill="background2"/>
          </w:tcPr>
          <w:p w:rsidR="00860A4D" w:rsidRDefault="005D7A0B" w:rsidP="003C6034">
            <w:pPr>
              <w:rPr>
                <w:rFonts w:ascii="Arial" w:hAnsi="Arial" w:cs="Arial"/>
              </w:rPr>
            </w:pPr>
            <w:r>
              <w:rPr>
                <w:rFonts w:ascii="Arial" w:hAnsi="Arial" w:cs="Arial"/>
              </w:rPr>
              <w:t>3</w:t>
            </w:r>
            <w:r w:rsidR="00860A4D" w:rsidRPr="004231B6">
              <w:rPr>
                <w:rFonts w:ascii="Arial" w:hAnsi="Arial" w:cs="Arial"/>
              </w:rPr>
              <w:t xml:space="preserve"> years from approval </w:t>
            </w:r>
          </w:p>
          <w:p w:rsidR="00445F62" w:rsidRPr="004231B6" w:rsidRDefault="00445F62" w:rsidP="003C6034">
            <w:pPr>
              <w:rPr>
                <w:rFonts w:ascii="Arial" w:hAnsi="Arial" w:cs="Arial"/>
              </w:rPr>
            </w:pPr>
            <w:r>
              <w:rPr>
                <w:rFonts w:ascii="Arial" w:hAnsi="Arial" w:cs="Arial"/>
              </w:rPr>
              <w:t>Last review Oct 2019</w:t>
            </w:r>
          </w:p>
        </w:tc>
      </w:tr>
      <w:tr w:rsidR="00860A4D" w:rsidRPr="004231B6" w:rsidTr="003C6034">
        <w:tc>
          <w:tcPr>
            <w:tcW w:w="5353" w:type="dxa"/>
            <w:shd w:val="clear" w:color="auto" w:fill="EEECE1" w:themeFill="background2"/>
          </w:tcPr>
          <w:p w:rsidR="00860A4D" w:rsidRPr="004231B6" w:rsidRDefault="00860A4D" w:rsidP="003C6034">
            <w:pPr>
              <w:spacing w:after="120"/>
              <w:jc w:val="both"/>
              <w:rPr>
                <w:rFonts w:ascii="Arial" w:hAnsi="Arial" w:cs="Arial"/>
                <w:b/>
              </w:rPr>
            </w:pPr>
            <w:r w:rsidRPr="004231B6">
              <w:rPr>
                <w:rFonts w:ascii="Arial" w:hAnsi="Arial" w:cs="Arial"/>
                <w:b/>
              </w:rPr>
              <w:t>Target Audience:</w:t>
            </w:r>
          </w:p>
        </w:tc>
        <w:tc>
          <w:tcPr>
            <w:tcW w:w="3889" w:type="dxa"/>
            <w:shd w:val="clear" w:color="auto" w:fill="EEECE1" w:themeFill="background2"/>
          </w:tcPr>
          <w:p w:rsidR="00860A4D" w:rsidRPr="004231B6" w:rsidRDefault="00860A4D" w:rsidP="003C6034">
            <w:pPr>
              <w:rPr>
                <w:rFonts w:ascii="Arial" w:hAnsi="Arial" w:cs="Arial"/>
              </w:rPr>
            </w:pPr>
            <w:r w:rsidRPr="004231B6">
              <w:rPr>
                <w:rFonts w:ascii="Arial" w:hAnsi="Arial" w:cs="Arial"/>
              </w:rPr>
              <w:t>Barnsley CCG staff</w:t>
            </w:r>
          </w:p>
        </w:tc>
      </w:tr>
    </w:tbl>
    <w:p w:rsidR="00860A4D" w:rsidRPr="004231B6" w:rsidRDefault="00860A4D" w:rsidP="00860A4D">
      <w:pPr>
        <w:ind w:hanging="567"/>
        <w:jc w:val="both"/>
        <w:rPr>
          <w:rFonts w:ascii="Arial" w:hAnsi="Arial" w:cs="Arial"/>
          <w:b/>
        </w:rPr>
      </w:pPr>
    </w:p>
    <w:p w:rsidR="00860A4D" w:rsidRPr="004231B6" w:rsidRDefault="00860A4D" w:rsidP="00860A4D">
      <w:pPr>
        <w:ind w:hanging="567"/>
        <w:jc w:val="both"/>
        <w:rPr>
          <w:rFonts w:ascii="Arial" w:hAnsi="Arial" w:cs="Arial"/>
          <w:b/>
        </w:rPr>
      </w:pPr>
    </w:p>
    <w:p w:rsidR="00860A4D" w:rsidRPr="004231B6" w:rsidRDefault="00860A4D" w:rsidP="00860A4D">
      <w:pPr>
        <w:ind w:hanging="567"/>
        <w:jc w:val="both"/>
        <w:rPr>
          <w:rFonts w:ascii="Arial" w:hAnsi="Arial" w:cs="Arial"/>
          <w:b/>
        </w:rPr>
      </w:pPr>
    </w:p>
    <w:p w:rsidR="00860A4D" w:rsidRPr="004231B6" w:rsidRDefault="00860A4D" w:rsidP="00860A4D">
      <w:pPr>
        <w:ind w:hanging="567"/>
        <w:jc w:val="both"/>
        <w:rPr>
          <w:rFonts w:ascii="Arial" w:hAnsi="Arial" w:cs="Arial"/>
          <w:b/>
        </w:rPr>
      </w:pPr>
    </w:p>
    <w:p w:rsidR="00860A4D" w:rsidRPr="004231B6" w:rsidRDefault="00860A4D" w:rsidP="00860A4D">
      <w:pPr>
        <w:ind w:hanging="567"/>
        <w:jc w:val="both"/>
        <w:rPr>
          <w:rFonts w:ascii="Arial" w:hAnsi="Arial" w:cs="Arial"/>
          <w:b/>
        </w:rPr>
      </w:pPr>
    </w:p>
    <w:p w:rsidR="00860A4D" w:rsidRPr="004231B6" w:rsidRDefault="00860A4D" w:rsidP="00860A4D">
      <w:pPr>
        <w:ind w:hanging="567"/>
        <w:jc w:val="both"/>
        <w:rPr>
          <w:rFonts w:ascii="Arial" w:hAnsi="Arial" w:cs="Arial"/>
          <w:b/>
        </w:rPr>
      </w:pPr>
    </w:p>
    <w:p w:rsidR="00860A4D" w:rsidRPr="004231B6" w:rsidRDefault="00860A4D" w:rsidP="00860A4D">
      <w:pPr>
        <w:ind w:hanging="567"/>
        <w:jc w:val="both"/>
        <w:rPr>
          <w:rFonts w:ascii="Arial" w:hAnsi="Arial" w:cs="Arial"/>
          <w:b/>
        </w:rPr>
      </w:pPr>
    </w:p>
    <w:p w:rsidR="00860A4D" w:rsidRPr="004231B6" w:rsidRDefault="00860A4D" w:rsidP="00860A4D">
      <w:pPr>
        <w:ind w:hanging="567"/>
        <w:jc w:val="both"/>
        <w:rPr>
          <w:rFonts w:ascii="Arial" w:hAnsi="Arial" w:cs="Arial"/>
          <w:b/>
        </w:rPr>
      </w:pPr>
    </w:p>
    <w:p w:rsidR="00452A03" w:rsidRDefault="00452A03" w:rsidP="00F83BE6">
      <w:pPr>
        <w:autoSpaceDE w:val="0"/>
        <w:autoSpaceDN w:val="0"/>
        <w:adjustRightInd w:val="0"/>
        <w:spacing w:after="0" w:line="240" w:lineRule="auto"/>
        <w:rPr>
          <w:rFonts w:ascii="Arial" w:hAnsi="Arial" w:cs="Arial"/>
          <w:b/>
          <w:color w:val="365F91"/>
        </w:rPr>
      </w:pPr>
    </w:p>
    <w:p w:rsidR="00F83BE6" w:rsidRDefault="00452A03" w:rsidP="00452A03">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BUDGET MANAGEMENT POLICY</w:t>
      </w:r>
    </w:p>
    <w:p w:rsidR="00F83BE6" w:rsidRPr="00C6714B" w:rsidRDefault="00F83BE6" w:rsidP="00F83BE6">
      <w:pPr>
        <w:rPr>
          <w:rFonts w:ascii="Arial" w:hAnsi="Arial" w:cs="Arial"/>
          <w:color w:val="365F91"/>
        </w:rPr>
      </w:pPr>
    </w:p>
    <w:p w:rsidR="00F83BE6" w:rsidRDefault="00596AAA" w:rsidP="00F83BE6">
      <w:pPr>
        <w:rPr>
          <w:rFonts w:ascii="Arial" w:hAnsi="Arial" w:cs="Arial"/>
          <w:b/>
          <w:sz w:val="24"/>
          <w:szCs w:val="24"/>
        </w:rPr>
      </w:pPr>
      <w:r>
        <w:rPr>
          <w:rFonts w:ascii="Arial" w:hAnsi="Arial" w:cs="Arial"/>
          <w:b/>
          <w:sz w:val="24"/>
          <w:szCs w:val="24"/>
        </w:rPr>
        <w:t>DOCUMENT CONTROL</w:t>
      </w:r>
    </w:p>
    <w:tbl>
      <w:tblPr>
        <w:tblStyle w:val="TableGrid"/>
        <w:tblW w:w="0" w:type="auto"/>
        <w:tblLook w:val="04A0" w:firstRow="1" w:lastRow="0" w:firstColumn="1" w:lastColumn="0" w:noHBand="0" w:noVBand="1"/>
      </w:tblPr>
      <w:tblGrid>
        <w:gridCol w:w="1242"/>
        <w:gridCol w:w="2410"/>
        <w:gridCol w:w="1701"/>
        <w:gridCol w:w="3889"/>
      </w:tblGrid>
      <w:tr w:rsidR="00596AAA" w:rsidTr="00596AAA">
        <w:tc>
          <w:tcPr>
            <w:tcW w:w="1242" w:type="dxa"/>
          </w:tcPr>
          <w:p w:rsidR="00596AAA" w:rsidRPr="00596AAA" w:rsidRDefault="00596AAA" w:rsidP="00F83BE6">
            <w:pPr>
              <w:rPr>
                <w:rFonts w:ascii="Arial" w:hAnsi="Arial" w:cs="Arial"/>
                <w:b/>
                <w:sz w:val="24"/>
                <w:szCs w:val="24"/>
              </w:rPr>
            </w:pPr>
            <w:r>
              <w:rPr>
                <w:rFonts w:ascii="Arial" w:hAnsi="Arial" w:cs="Arial"/>
                <w:b/>
                <w:sz w:val="24"/>
                <w:szCs w:val="24"/>
              </w:rPr>
              <w:t>Version</w:t>
            </w:r>
          </w:p>
        </w:tc>
        <w:tc>
          <w:tcPr>
            <w:tcW w:w="2410" w:type="dxa"/>
          </w:tcPr>
          <w:p w:rsidR="00596AAA" w:rsidRPr="00596AAA" w:rsidRDefault="00596AAA" w:rsidP="00F83BE6">
            <w:pPr>
              <w:rPr>
                <w:rFonts w:ascii="Arial" w:hAnsi="Arial" w:cs="Arial"/>
                <w:b/>
                <w:sz w:val="24"/>
                <w:szCs w:val="24"/>
              </w:rPr>
            </w:pPr>
            <w:r>
              <w:rPr>
                <w:rFonts w:ascii="Arial" w:hAnsi="Arial" w:cs="Arial"/>
                <w:b/>
                <w:sz w:val="24"/>
                <w:szCs w:val="24"/>
              </w:rPr>
              <w:t>Type of Change</w:t>
            </w:r>
          </w:p>
        </w:tc>
        <w:tc>
          <w:tcPr>
            <w:tcW w:w="1701" w:type="dxa"/>
          </w:tcPr>
          <w:p w:rsidR="00596AAA" w:rsidRPr="00596AAA" w:rsidRDefault="00596AAA" w:rsidP="00F83BE6">
            <w:pPr>
              <w:rPr>
                <w:rFonts w:ascii="Arial" w:hAnsi="Arial" w:cs="Arial"/>
                <w:b/>
                <w:sz w:val="24"/>
                <w:szCs w:val="24"/>
              </w:rPr>
            </w:pPr>
            <w:r>
              <w:rPr>
                <w:rFonts w:ascii="Arial" w:hAnsi="Arial" w:cs="Arial"/>
                <w:b/>
                <w:sz w:val="24"/>
                <w:szCs w:val="24"/>
              </w:rPr>
              <w:t>Date</w:t>
            </w:r>
          </w:p>
        </w:tc>
        <w:tc>
          <w:tcPr>
            <w:tcW w:w="3889" w:type="dxa"/>
          </w:tcPr>
          <w:p w:rsidR="00596AAA" w:rsidRPr="00596AAA" w:rsidRDefault="00596AAA" w:rsidP="00F83BE6">
            <w:pPr>
              <w:rPr>
                <w:rFonts w:ascii="Arial" w:hAnsi="Arial" w:cs="Arial"/>
                <w:b/>
                <w:sz w:val="24"/>
                <w:szCs w:val="24"/>
              </w:rPr>
            </w:pPr>
            <w:r>
              <w:rPr>
                <w:rFonts w:ascii="Arial" w:hAnsi="Arial" w:cs="Arial"/>
                <w:b/>
                <w:sz w:val="24"/>
                <w:szCs w:val="24"/>
              </w:rPr>
              <w:t>Description of Change</w:t>
            </w:r>
          </w:p>
        </w:tc>
      </w:tr>
      <w:tr w:rsidR="00596AAA" w:rsidTr="00596AAA">
        <w:tc>
          <w:tcPr>
            <w:tcW w:w="1242" w:type="dxa"/>
          </w:tcPr>
          <w:p w:rsidR="00596AAA" w:rsidRDefault="00596AAA" w:rsidP="00F83BE6">
            <w:pPr>
              <w:rPr>
                <w:rFonts w:ascii="Arial" w:hAnsi="Arial" w:cs="Arial"/>
                <w:sz w:val="24"/>
                <w:szCs w:val="24"/>
              </w:rPr>
            </w:pPr>
            <w:r>
              <w:rPr>
                <w:rFonts w:ascii="Arial" w:hAnsi="Arial" w:cs="Arial"/>
                <w:sz w:val="24"/>
                <w:szCs w:val="24"/>
              </w:rPr>
              <w:t>V1.0</w:t>
            </w:r>
          </w:p>
        </w:tc>
        <w:tc>
          <w:tcPr>
            <w:tcW w:w="2410" w:type="dxa"/>
          </w:tcPr>
          <w:p w:rsidR="00596AAA" w:rsidRDefault="00596AAA" w:rsidP="00F83BE6">
            <w:pPr>
              <w:rPr>
                <w:rFonts w:ascii="Arial" w:hAnsi="Arial" w:cs="Arial"/>
                <w:sz w:val="24"/>
                <w:szCs w:val="24"/>
              </w:rPr>
            </w:pPr>
            <w:r>
              <w:rPr>
                <w:rFonts w:ascii="Arial" w:hAnsi="Arial" w:cs="Arial"/>
                <w:sz w:val="24"/>
                <w:szCs w:val="24"/>
              </w:rPr>
              <w:t>New policy</w:t>
            </w:r>
          </w:p>
          <w:p w:rsidR="004B474A" w:rsidRPr="00596AAA" w:rsidRDefault="004B474A" w:rsidP="00F83BE6">
            <w:pPr>
              <w:rPr>
                <w:rFonts w:ascii="Arial" w:hAnsi="Arial" w:cs="Arial"/>
                <w:sz w:val="24"/>
                <w:szCs w:val="24"/>
              </w:rPr>
            </w:pPr>
          </w:p>
        </w:tc>
        <w:tc>
          <w:tcPr>
            <w:tcW w:w="1701" w:type="dxa"/>
          </w:tcPr>
          <w:p w:rsidR="00596AAA" w:rsidRDefault="00596AAA" w:rsidP="00F83BE6">
            <w:pPr>
              <w:rPr>
                <w:rFonts w:ascii="Arial" w:hAnsi="Arial" w:cs="Arial"/>
                <w:sz w:val="24"/>
                <w:szCs w:val="24"/>
              </w:rPr>
            </w:pPr>
          </w:p>
        </w:tc>
        <w:tc>
          <w:tcPr>
            <w:tcW w:w="3889" w:type="dxa"/>
          </w:tcPr>
          <w:p w:rsidR="00596AAA" w:rsidRPr="00596AAA" w:rsidRDefault="00596AAA" w:rsidP="00F83BE6">
            <w:pPr>
              <w:rPr>
                <w:rFonts w:ascii="Arial" w:hAnsi="Arial" w:cs="Arial"/>
                <w:sz w:val="24"/>
                <w:szCs w:val="24"/>
              </w:rPr>
            </w:pPr>
          </w:p>
        </w:tc>
      </w:tr>
      <w:tr w:rsidR="00596AAA" w:rsidTr="00596AAA">
        <w:tc>
          <w:tcPr>
            <w:tcW w:w="1242" w:type="dxa"/>
          </w:tcPr>
          <w:p w:rsidR="00596AAA" w:rsidRPr="00596AAA" w:rsidRDefault="00596AAA" w:rsidP="00F83BE6">
            <w:pPr>
              <w:rPr>
                <w:rFonts w:ascii="Arial" w:hAnsi="Arial" w:cs="Arial"/>
                <w:sz w:val="24"/>
                <w:szCs w:val="24"/>
              </w:rPr>
            </w:pPr>
            <w:r>
              <w:rPr>
                <w:rFonts w:ascii="Arial" w:hAnsi="Arial" w:cs="Arial"/>
                <w:sz w:val="24"/>
                <w:szCs w:val="24"/>
              </w:rPr>
              <w:t>V1.1</w:t>
            </w:r>
          </w:p>
        </w:tc>
        <w:tc>
          <w:tcPr>
            <w:tcW w:w="2410" w:type="dxa"/>
          </w:tcPr>
          <w:p w:rsidR="00596AAA" w:rsidRPr="00596AAA" w:rsidRDefault="00BA5DFB" w:rsidP="00F83BE6">
            <w:pPr>
              <w:rPr>
                <w:rFonts w:ascii="Arial" w:hAnsi="Arial" w:cs="Arial"/>
                <w:sz w:val="24"/>
                <w:szCs w:val="24"/>
              </w:rPr>
            </w:pPr>
            <w:r>
              <w:rPr>
                <w:rFonts w:ascii="Arial" w:hAnsi="Arial" w:cs="Arial"/>
                <w:sz w:val="24"/>
                <w:szCs w:val="24"/>
              </w:rPr>
              <w:t>Amendment</w:t>
            </w:r>
          </w:p>
        </w:tc>
        <w:tc>
          <w:tcPr>
            <w:tcW w:w="1701" w:type="dxa"/>
          </w:tcPr>
          <w:p w:rsidR="00596AAA" w:rsidRPr="00596AAA" w:rsidRDefault="00596AAA" w:rsidP="00F83BE6">
            <w:pPr>
              <w:rPr>
                <w:rFonts w:ascii="Arial" w:hAnsi="Arial" w:cs="Arial"/>
                <w:sz w:val="24"/>
                <w:szCs w:val="24"/>
              </w:rPr>
            </w:pPr>
            <w:r>
              <w:rPr>
                <w:rFonts w:ascii="Arial" w:hAnsi="Arial" w:cs="Arial"/>
                <w:sz w:val="24"/>
                <w:szCs w:val="24"/>
              </w:rPr>
              <w:t>August 2017</w:t>
            </w:r>
          </w:p>
        </w:tc>
        <w:tc>
          <w:tcPr>
            <w:tcW w:w="3889" w:type="dxa"/>
          </w:tcPr>
          <w:p w:rsidR="00596AAA" w:rsidRDefault="00596AAA" w:rsidP="00F83BE6">
            <w:pPr>
              <w:rPr>
                <w:rFonts w:ascii="Arial" w:hAnsi="Arial" w:cs="Arial"/>
                <w:iCs/>
                <w:sz w:val="24"/>
                <w:szCs w:val="24"/>
                <w:lang w:val="en-AU"/>
              </w:rPr>
            </w:pPr>
            <w:r w:rsidRPr="00BA5DFB">
              <w:rPr>
                <w:rFonts w:ascii="Arial" w:hAnsi="Arial" w:cs="Arial"/>
                <w:iCs/>
                <w:sz w:val="24"/>
                <w:szCs w:val="24"/>
                <w:lang w:val="en-AU"/>
              </w:rPr>
              <w:t>Insert compliance to Prime Financial Policies as per Audit Committee Recommendation (July ‘17 Meeting).</w:t>
            </w:r>
          </w:p>
          <w:p w:rsidR="00BA5DFB" w:rsidRPr="00BA5DFB" w:rsidRDefault="00BA5DFB" w:rsidP="00F83BE6">
            <w:pPr>
              <w:rPr>
                <w:rFonts w:ascii="Arial" w:hAnsi="Arial" w:cs="Arial"/>
                <w:sz w:val="24"/>
                <w:szCs w:val="24"/>
              </w:rPr>
            </w:pPr>
          </w:p>
        </w:tc>
      </w:tr>
      <w:tr w:rsidR="00596AAA" w:rsidTr="00596AAA">
        <w:tc>
          <w:tcPr>
            <w:tcW w:w="1242" w:type="dxa"/>
          </w:tcPr>
          <w:p w:rsidR="00596AAA" w:rsidRDefault="00596AAA" w:rsidP="00F83BE6">
            <w:pPr>
              <w:rPr>
                <w:rFonts w:ascii="Arial" w:hAnsi="Arial" w:cs="Arial"/>
                <w:sz w:val="24"/>
                <w:szCs w:val="24"/>
              </w:rPr>
            </w:pPr>
          </w:p>
          <w:p w:rsidR="00BA5DFB" w:rsidRDefault="00445F62" w:rsidP="00F83BE6">
            <w:pPr>
              <w:rPr>
                <w:rFonts w:ascii="Arial" w:hAnsi="Arial" w:cs="Arial"/>
                <w:sz w:val="24"/>
                <w:szCs w:val="24"/>
              </w:rPr>
            </w:pPr>
            <w:r>
              <w:rPr>
                <w:rFonts w:ascii="Arial" w:hAnsi="Arial" w:cs="Arial"/>
                <w:sz w:val="24"/>
                <w:szCs w:val="24"/>
              </w:rPr>
              <w:t>V2.0</w:t>
            </w:r>
          </w:p>
          <w:p w:rsidR="00BA5DFB" w:rsidRDefault="00BA5DFB" w:rsidP="00F83BE6">
            <w:pPr>
              <w:rPr>
                <w:rFonts w:ascii="Arial" w:hAnsi="Arial" w:cs="Arial"/>
                <w:sz w:val="24"/>
                <w:szCs w:val="24"/>
              </w:rPr>
            </w:pPr>
          </w:p>
          <w:p w:rsidR="00BA5DFB" w:rsidRDefault="00BA5DFB" w:rsidP="00F83BE6">
            <w:pPr>
              <w:rPr>
                <w:rFonts w:ascii="Arial" w:hAnsi="Arial" w:cs="Arial"/>
                <w:sz w:val="24"/>
                <w:szCs w:val="24"/>
              </w:rPr>
            </w:pPr>
          </w:p>
          <w:p w:rsidR="00BA5DFB" w:rsidRDefault="00BA5DFB" w:rsidP="00F83BE6">
            <w:pPr>
              <w:rPr>
                <w:rFonts w:ascii="Arial" w:hAnsi="Arial" w:cs="Arial"/>
                <w:sz w:val="24"/>
                <w:szCs w:val="24"/>
              </w:rPr>
            </w:pPr>
          </w:p>
          <w:p w:rsidR="00BA5DFB" w:rsidRPr="00596AAA" w:rsidRDefault="00BA5DFB" w:rsidP="00F83BE6">
            <w:pPr>
              <w:rPr>
                <w:rFonts w:ascii="Arial" w:hAnsi="Arial" w:cs="Arial"/>
                <w:sz w:val="24"/>
                <w:szCs w:val="24"/>
              </w:rPr>
            </w:pPr>
          </w:p>
        </w:tc>
        <w:tc>
          <w:tcPr>
            <w:tcW w:w="2410" w:type="dxa"/>
          </w:tcPr>
          <w:p w:rsidR="00596AAA" w:rsidRDefault="00596AAA" w:rsidP="00F83BE6">
            <w:pPr>
              <w:rPr>
                <w:rFonts w:ascii="Arial" w:hAnsi="Arial" w:cs="Arial"/>
                <w:sz w:val="24"/>
                <w:szCs w:val="24"/>
              </w:rPr>
            </w:pPr>
          </w:p>
          <w:p w:rsidR="00445F62" w:rsidRPr="00596AAA" w:rsidRDefault="00445F62" w:rsidP="00F83BE6">
            <w:pPr>
              <w:rPr>
                <w:rFonts w:ascii="Arial" w:hAnsi="Arial" w:cs="Arial"/>
                <w:sz w:val="24"/>
                <w:szCs w:val="24"/>
              </w:rPr>
            </w:pPr>
            <w:r>
              <w:rPr>
                <w:rFonts w:ascii="Arial" w:hAnsi="Arial" w:cs="Arial"/>
                <w:sz w:val="24"/>
                <w:szCs w:val="24"/>
              </w:rPr>
              <w:t>Amendment</w:t>
            </w:r>
          </w:p>
        </w:tc>
        <w:tc>
          <w:tcPr>
            <w:tcW w:w="1701" w:type="dxa"/>
          </w:tcPr>
          <w:p w:rsidR="00596AAA" w:rsidRDefault="00596AAA" w:rsidP="00F83BE6">
            <w:pPr>
              <w:rPr>
                <w:rFonts w:ascii="Arial" w:hAnsi="Arial" w:cs="Arial"/>
                <w:sz w:val="24"/>
                <w:szCs w:val="24"/>
              </w:rPr>
            </w:pPr>
          </w:p>
          <w:p w:rsidR="00445F62" w:rsidRPr="00596AAA" w:rsidRDefault="00445F62" w:rsidP="00F83BE6">
            <w:pPr>
              <w:rPr>
                <w:rFonts w:ascii="Arial" w:hAnsi="Arial" w:cs="Arial"/>
                <w:sz w:val="24"/>
                <w:szCs w:val="24"/>
              </w:rPr>
            </w:pPr>
            <w:r>
              <w:rPr>
                <w:rFonts w:ascii="Arial" w:hAnsi="Arial" w:cs="Arial"/>
                <w:sz w:val="24"/>
                <w:szCs w:val="24"/>
              </w:rPr>
              <w:t>October 2019</w:t>
            </w:r>
          </w:p>
        </w:tc>
        <w:tc>
          <w:tcPr>
            <w:tcW w:w="3889" w:type="dxa"/>
          </w:tcPr>
          <w:p w:rsidR="00596AAA" w:rsidRDefault="00596AAA" w:rsidP="00F83BE6">
            <w:pPr>
              <w:rPr>
                <w:rFonts w:ascii="Arial" w:hAnsi="Arial" w:cs="Arial"/>
                <w:sz w:val="24"/>
                <w:szCs w:val="24"/>
              </w:rPr>
            </w:pPr>
          </w:p>
          <w:p w:rsidR="00445F62" w:rsidRPr="00596AAA" w:rsidRDefault="00445F62" w:rsidP="00F83BE6">
            <w:pPr>
              <w:rPr>
                <w:rFonts w:ascii="Arial" w:hAnsi="Arial" w:cs="Arial"/>
                <w:sz w:val="24"/>
                <w:szCs w:val="24"/>
              </w:rPr>
            </w:pPr>
            <w:r>
              <w:rPr>
                <w:rFonts w:ascii="Arial" w:hAnsi="Arial" w:cs="Arial"/>
                <w:sz w:val="24"/>
                <w:szCs w:val="24"/>
              </w:rPr>
              <w:t>4.3.2 Changed the value to £20,000 from £5,000</w:t>
            </w:r>
          </w:p>
        </w:tc>
      </w:tr>
    </w:tbl>
    <w:p w:rsidR="00596AAA" w:rsidRDefault="00596AAA" w:rsidP="00F83BE6">
      <w:pPr>
        <w:rPr>
          <w:rFonts w:ascii="Arial" w:hAnsi="Arial" w:cs="Arial"/>
          <w:b/>
          <w:sz w:val="24"/>
          <w:szCs w:val="24"/>
        </w:rPr>
      </w:pPr>
    </w:p>
    <w:p w:rsidR="00596AAA" w:rsidRPr="00596AAA" w:rsidRDefault="00596AAA" w:rsidP="00F83BE6">
      <w:pPr>
        <w:rPr>
          <w:rFonts w:ascii="Arial" w:hAnsi="Arial" w:cs="Arial"/>
          <w:sz w:val="24"/>
          <w:szCs w:val="24"/>
        </w:rPr>
      </w:pPr>
    </w:p>
    <w:p w:rsidR="00F83BE6" w:rsidRPr="00452A03" w:rsidRDefault="00F83BE6" w:rsidP="00F83BE6">
      <w:pPr>
        <w:autoSpaceDE w:val="0"/>
        <w:autoSpaceDN w:val="0"/>
        <w:adjustRightInd w:val="0"/>
        <w:spacing w:after="0" w:line="240" w:lineRule="auto"/>
        <w:rPr>
          <w:rFonts w:ascii="Arial" w:hAnsi="Arial" w:cs="Arial"/>
          <w:b/>
          <w:sz w:val="24"/>
          <w:szCs w:val="24"/>
        </w:rPr>
      </w:pPr>
    </w:p>
    <w:p w:rsidR="00F83BE6" w:rsidRPr="00452A03" w:rsidRDefault="00F83BE6">
      <w:pPr>
        <w:rPr>
          <w:rFonts w:ascii="Arial" w:hAnsi="Arial" w:cs="Arial"/>
          <w:b/>
          <w:sz w:val="24"/>
          <w:szCs w:val="24"/>
        </w:rPr>
      </w:pPr>
      <w:r w:rsidRPr="00452A03">
        <w:rPr>
          <w:rFonts w:ascii="Arial" w:hAnsi="Arial" w:cs="Arial"/>
          <w:b/>
          <w:sz w:val="24"/>
          <w:szCs w:val="24"/>
        </w:rPr>
        <w:br w:type="page"/>
      </w:r>
    </w:p>
    <w:p w:rsidR="00F83BE6" w:rsidRDefault="00AE7941" w:rsidP="00AE7941">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BARNSLEY CLINICAL COMMISSIONING GROUP</w:t>
      </w:r>
    </w:p>
    <w:p w:rsidR="00AE7941" w:rsidRDefault="00AE7941" w:rsidP="00AE7941">
      <w:pPr>
        <w:autoSpaceDE w:val="0"/>
        <w:autoSpaceDN w:val="0"/>
        <w:adjustRightInd w:val="0"/>
        <w:spacing w:after="0" w:line="240" w:lineRule="auto"/>
        <w:jc w:val="center"/>
        <w:rPr>
          <w:rFonts w:ascii="Arial" w:hAnsi="Arial" w:cs="Arial"/>
          <w:b/>
          <w:color w:val="000000"/>
          <w:sz w:val="24"/>
          <w:szCs w:val="24"/>
        </w:rPr>
      </w:pPr>
    </w:p>
    <w:p w:rsidR="00AE7941" w:rsidRDefault="00AE7941" w:rsidP="00AE7941">
      <w:pPr>
        <w:autoSpaceDE w:val="0"/>
        <w:autoSpaceDN w:val="0"/>
        <w:adjustRightInd w:val="0"/>
        <w:spacing w:after="0" w:line="240" w:lineRule="auto"/>
        <w:jc w:val="center"/>
        <w:rPr>
          <w:rFonts w:ascii="Arial" w:hAnsi="Arial" w:cs="Arial"/>
          <w:b/>
          <w:color w:val="000000"/>
          <w:sz w:val="24"/>
          <w:szCs w:val="24"/>
        </w:rPr>
      </w:pPr>
      <w:r>
        <w:rPr>
          <w:rFonts w:ascii="Arial" w:hAnsi="Arial" w:cs="Arial"/>
          <w:b/>
          <w:color w:val="000000"/>
          <w:sz w:val="24"/>
          <w:szCs w:val="24"/>
        </w:rPr>
        <w:t>BUDGET MANAGEMENT POLICY</w:t>
      </w:r>
    </w:p>
    <w:p w:rsidR="00AE7941" w:rsidRDefault="00AE7941" w:rsidP="00AE7941">
      <w:pPr>
        <w:autoSpaceDE w:val="0"/>
        <w:autoSpaceDN w:val="0"/>
        <w:adjustRightInd w:val="0"/>
        <w:spacing w:after="0" w:line="240" w:lineRule="auto"/>
        <w:jc w:val="center"/>
        <w:rPr>
          <w:rFonts w:ascii="Arial" w:hAnsi="Arial" w:cs="Arial"/>
          <w:b/>
          <w:color w:val="000000"/>
          <w:sz w:val="24"/>
          <w:szCs w:val="24"/>
        </w:rPr>
      </w:pPr>
    </w:p>
    <w:p w:rsidR="00076AE6" w:rsidRDefault="00AE7941" w:rsidP="00AE7941">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CONTENTS</w:t>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t>PAGE</w:t>
      </w:r>
    </w:p>
    <w:p w:rsidR="00AE7941" w:rsidRDefault="00AE7941" w:rsidP="00AE7941">
      <w:pPr>
        <w:autoSpaceDE w:val="0"/>
        <w:autoSpaceDN w:val="0"/>
        <w:adjustRightInd w:val="0"/>
        <w:spacing w:after="0" w:line="240" w:lineRule="auto"/>
        <w:rPr>
          <w:rFonts w:ascii="Arial" w:hAnsi="Arial" w:cs="Arial"/>
          <w:b/>
          <w:color w:val="000000"/>
          <w:sz w:val="24"/>
          <w:szCs w:val="24"/>
        </w:rPr>
      </w:pPr>
    </w:p>
    <w:p w:rsidR="00AE7941" w:rsidRDefault="00AE7941" w:rsidP="00AE7941">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Introduction</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5</w:t>
      </w:r>
    </w:p>
    <w:p w:rsidR="00FD18D2" w:rsidRDefault="00FD18D2" w:rsidP="00FD18D2">
      <w:pPr>
        <w:pStyle w:val="ListParagraph"/>
        <w:autoSpaceDE w:val="0"/>
        <w:autoSpaceDN w:val="0"/>
        <w:adjustRightInd w:val="0"/>
        <w:spacing w:after="0" w:line="240" w:lineRule="auto"/>
        <w:ind w:left="360"/>
        <w:rPr>
          <w:rFonts w:ascii="Arial" w:hAnsi="Arial" w:cs="Arial"/>
          <w:color w:val="000000"/>
          <w:sz w:val="24"/>
          <w:szCs w:val="24"/>
        </w:rPr>
      </w:pPr>
    </w:p>
    <w:p w:rsidR="00FD18D2" w:rsidRDefault="00FD18D2" w:rsidP="00AE7941">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Purpose</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5</w:t>
      </w:r>
    </w:p>
    <w:p w:rsidR="00AE7941" w:rsidRDefault="00AE7941" w:rsidP="00AE7941">
      <w:pPr>
        <w:pStyle w:val="ListParagraph"/>
        <w:autoSpaceDE w:val="0"/>
        <w:autoSpaceDN w:val="0"/>
        <w:adjustRightInd w:val="0"/>
        <w:spacing w:after="0" w:line="240" w:lineRule="auto"/>
        <w:ind w:left="360"/>
        <w:rPr>
          <w:rFonts w:ascii="Arial" w:hAnsi="Arial" w:cs="Arial"/>
          <w:color w:val="000000"/>
          <w:sz w:val="24"/>
          <w:szCs w:val="24"/>
        </w:rPr>
      </w:pPr>
    </w:p>
    <w:p w:rsidR="00AE7941" w:rsidRDefault="00AE7941" w:rsidP="00AE7941">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Scope</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5</w:t>
      </w:r>
    </w:p>
    <w:p w:rsidR="00AE7941" w:rsidRPr="00AE7941" w:rsidRDefault="00AE7941" w:rsidP="00AE7941">
      <w:pPr>
        <w:pStyle w:val="ListParagraph"/>
        <w:rPr>
          <w:rFonts w:ascii="Arial" w:hAnsi="Arial" w:cs="Arial"/>
          <w:color w:val="000000"/>
          <w:sz w:val="24"/>
          <w:szCs w:val="24"/>
        </w:rPr>
      </w:pPr>
    </w:p>
    <w:p w:rsidR="00AE7941" w:rsidRDefault="00AE7941" w:rsidP="00AE7941">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Roles and Responsibilities</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5</w:t>
      </w:r>
    </w:p>
    <w:p w:rsidR="00AE7941" w:rsidRPr="00AE7941" w:rsidRDefault="00AE7941" w:rsidP="00AE7941">
      <w:pPr>
        <w:pStyle w:val="ListParagraph"/>
        <w:rPr>
          <w:rFonts w:ascii="Arial" w:hAnsi="Arial" w:cs="Arial"/>
          <w:color w:val="000000"/>
          <w:sz w:val="24"/>
          <w:szCs w:val="24"/>
        </w:rPr>
      </w:pPr>
    </w:p>
    <w:p w:rsidR="00076AE6" w:rsidRPr="00076AE6" w:rsidRDefault="00AE7941" w:rsidP="00076AE6">
      <w:pPr>
        <w:pStyle w:val="ListParagraph"/>
        <w:numPr>
          <w:ilvl w:val="1"/>
          <w:numId w:val="6"/>
        </w:numPr>
        <w:autoSpaceDE w:val="0"/>
        <w:autoSpaceDN w:val="0"/>
        <w:adjustRightInd w:val="0"/>
        <w:spacing w:after="0" w:line="480" w:lineRule="auto"/>
        <w:rPr>
          <w:rFonts w:ascii="Arial" w:hAnsi="Arial" w:cs="Arial"/>
          <w:color w:val="000000"/>
          <w:sz w:val="24"/>
          <w:szCs w:val="24"/>
        </w:rPr>
      </w:pPr>
      <w:r w:rsidRPr="00076AE6">
        <w:rPr>
          <w:rFonts w:ascii="Arial" w:hAnsi="Arial" w:cs="Arial"/>
          <w:sz w:val="24"/>
          <w:szCs w:val="24"/>
        </w:rPr>
        <w:t>The CCG Governing Body will be responsible for</w:t>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t>5</w:t>
      </w:r>
    </w:p>
    <w:p w:rsidR="00076AE6" w:rsidRPr="00076AE6" w:rsidRDefault="00AE7941" w:rsidP="00076AE6">
      <w:pPr>
        <w:pStyle w:val="ListParagraph"/>
        <w:numPr>
          <w:ilvl w:val="1"/>
          <w:numId w:val="6"/>
        </w:numPr>
        <w:spacing w:line="480" w:lineRule="auto"/>
        <w:rPr>
          <w:rFonts w:ascii="Arial" w:hAnsi="Arial" w:cs="Arial"/>
          <w:color w:val="000000"/>
          <w:sz w:val="24"/>
          <w:szCs w:val="24"/>
        </w:rPr>
      </w:pPr>
      <w:r w:rsidRPr="00076AE6">
        <w:rPr>
          <w:rFonts w:ascii="Arial" w:hAnsi="Arial" w:cs="Arial"/>
          <w:color w:val="000000"/>
          <w:sz w:val="24"/>
          <w:szCs w:val="24"/>
        </w:rPr>
        <w:t>The Audit Committee will be responsible for</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6</w:t>
      </w:r>
    </w:p>
    <w:p w:rsidR="00AE7941" w:rsidRPr="00076AE6" w:rsidRDefault="00AE7941" w:rsidP="00076AE6">
      <w:pPr>
        <w:pStyle w:val="ListParagraph"/>
        <w:numPr>
          <w:ilvl w:val="1"/>
          <w:numId w:val="6"/>
        </w:numPr>
        <w:autoSpaceDE w:val="0"/>
        <w:autoSpaceDN w:val="0"/>
        <w:adjustRightInd w:val="0"/>
        <w:spacing w:after="0" w:line="480" w:lineRule="auto"/>
        <w:rPr>
          <w:rFonts w:ascii="Arial" w:hAnsi="Arial" w:cs="Arial"/>
          <w:color w:val="000000"/>
          <w:sz w:val="24"/>
          <w:szCs w:val="24"/>
        </w:rPr>
      </w:pPr>
      <w:r w:rsidRPr="00076AE6">
        <w:rPr>
          <w:rFonts w:ascii="Arial" w:hAnsi="Arial" w:cs="Arial"/>
          <w:sz w:val="24"/>
          <w:szCs w:val="24"/>
        </w:rPr>
        <w:t>The Finance and Performance committee will be responsible for</w:t>
      </w:r>
      <w:r w:rsidR="009D19A9">
        <w:rPr>
          <w:rFonts w:ascii="Arial" w:hAnsi="Arial" w:cs="Arial"/>
          <w:sz w:val="24"/>
          <w:szCs w:val="24"/>
        </w:rPr>
        <w:tab/>
        <w:t>6</w:t>
      </w:r>
    </w:p>
    <w:p w:rsidR="00AE7941" w:rsidRPr="00076AE6" w:rsidRDefault="00AE7941" w:rsidP="00076AE6">
      <w:pPr>
        <w:pStyle w:val="ListParagraph"/>
        <w:numPr>
          <w:ilvl w:val="1"/>
          <w:numId w:val="6"/>
        </w:numPr>
        <w:autoSpaceDE w:val="0"/>
        <w:autoSpaceDN w:val="0"/>
        <w:adjustRightInd w:val="0"/>
        <w:spacing w:after="0" w:line="480" w:lineRule="auto"/>
        <w:rPr>
          <w:rFonts w:ascii="Arial" w:hAnsi="Arial" w:cs="Arial"/>
          <w:color w:val="000000"/>
          <w:sz w:val="24"/>
          <w:szCs w:val="24"/>
        </w:rPr>
      </w:pPr>
      <w:r w:rsidRPr="00076AE6">
        <w:rPr>
          <w:rFonts w:ascii="Arial" w:hAnsi="Arial" w:cs="Arial"/>
          <w:sz w:val="24"/>
          <w:szCs w:val="24"/>
        </w:rPr>
        <w:t>The Chief Officer will be responsible for</w:t>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t>7</w:t>
      </w:r>
    </w:p>
    <w:p w:rsidR="00AE7941" w:rsidRPr="00076AE6" w:rsidRDefault="00AE7941" w:rsidP="00076AE6">
      <w:pPr>
        <w:pStyle w:val="ListParagraph"/>
        <w:numPr>
          <w:ilvl w:val="1"/>
          <w:numId w:val="6"/>
        </w:numPr>
        <w:autoSpaceDE w:val="0"/>
        <w:autoSpaceDN w:val="0"/>
        <w:adjustRightInd w:val="0"/>
        <w:spacing w:after="0" w:line="480" w:lineRule="auto"/>
        <w:rPr>
          <w:rFonts w:ascii="Arial" w:hAnsi="Arial" w:cs="Arial"/>
          <w:color w:val="000000"/>
          <w:sz w:val="24"/>
          <w:szCs w:val="24"/>
        </w:rPr>
      </w:pPr>
      <w:r w:rsidRPr="00076AE6">
        <w:rPr>
          <w:rFonts w:ascii="Arial" w:hAnsi="Arial" w:cs="Arial"/>
          <w:sz w:val="24"/>
          <w:szCs w:val="24"/>
        </w:rPr>
        <w:t>The Chief Finance Officer will be responsible for</w:t>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t>7</w:t>
      </w:r>
    </w:p>
    <w:p w:rsidR="00AE7941" w:rsidRPr="00076AE6" w:rsidRDefault="00AE7941" w:rsidP="00076AE6">
      <w:pPr>
        <w:pStyle w:val="ListParagraph"/>
        <w:numPr>
          <w:ilvl w:val="1"/>
          <w:numId w:val="6"/>
        </w:numPr>
        <w:autoSpaceDE w:val="0"/>
        <w:autoSpaceDN w:val="0"/>
        <w:adjustRightInd w:val="0"/>
        <w:spacing w:after="0" w:line="480" w:lineRule="auto"/>
        <w:rPr>
          <w:rFonts w:ascii="Arial" w:hAnsi="Arial" w:cs="Arial"/>
          <w:color w:val="000000"/>
          <w:sz w:val="24"/>
          <w:szCs w:val="24"/>
        </w:rPr>
      </w:pPr>
      <w:r w:rsidRPr="00076AE6">
        <w:rPr>
          <w:rFonts w:ascii="Arial" w:hAnsi="Arial" w:cs="Arial"/>
          <w:sz w:val="24"/>
          <w:szCs w:val="24"/>
        </w:rPr>
        <w:t>The Budget Manager will be responsible for</w:t>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t>7</w:t>
      </w:r>
    </w:p>
    <w:p w:rsidR="00AE7941" w:rsidRPr="00076AE6" w:rsidRDefault="00AE7941" w:rsidP="00076AE6">
      <w:pPr>
        <w:pStyle w:val="ListParagraph"/>
        <w:numPr>
          <w:ilvl w:val="1"/>
          <w:numId w:val="6"/>
        </w:numPr>
        <w:autoSpaceDE w:val="0"/>
        <w:autoSpaceDN w:val="0"/>
        <w:adjustRightInd w:val="0"/>
        <w:spacing w:after="0" w:line="480" w:lineRule="auto"/>
        <w:rPr>
          <w:rFonts w:ascii="Arial" w:hAnsi="Arial" w:cs="Arial"/>
          <w:color w:val="000000"/>
          <w:sz w:val="24"/>
          <w:szCs w:val="24"/>
        </w:rPr>
      </w:pPr>
      <w:r w:rsidRPr="00076AE6">
        <w:rPr>
          <w:rFonts w:ascii="Arial" w:hAnsi="Arial" w:cs="Arial"/>
          <w:sz w:val="24"/>
          <w:szCs w:val="24"/>
        </w:rPr>
        <w:t>The CCG finance team will be responsible for</w:t>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r>
      <w:r w:rsidR="009D19A9">
        <w:rPr>
          <w:rFonts w:ascii="Arial" w:hAnsi="Arial" w:cs="Arial"/>
          <w:sz w:val="24"/>
          <w:szCs w:val="24"/>
        </w:rPr>
        <w:tab/>
        <w:t>8</w:t>
      </w:r>
    </w:p>
    <w:p w:rsidR="00AE7941" w:rsidRDefault="00AE7941" w:rsidP="00AE7941">
      <w:pPr>
        <w:pStyle w:val="ListParagraph"/>
        <w:numPr>
          <w:ilvl w:val="0"/>
          <w:numId w:val="6"/>
        </w:numPr>
        <w:rPr>
          <w:rFonts w:ascii="Arial" w:hAnsi="Arial" w:cs="Arial"/>
          <w:color w:val="000000"/>
          <w:sz w:val="24"/>
          <w:szCs w:val="24"/>
        </w:rPr>
      </w:pPr>
      <w:r w:rsidRPr="00AE7941">
        <w:rPr>
          <w:rFonts w:ascii="Arial" w:hAnsi="Arial" w:cs="Arial"/>
          <w:color w:val="000000"/>
          <w:sz w:val="24"/>
          <w:szCs w:val="24"/>
        </w:rPr>
        <w:t>Reporting Framework</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8</w:t>
      </w:r>
    </w:p>
    <w:p w:rsidR="00AE7941" w:rsidRPr="00AE7941" w:rsidRDefault="00AE7941" w:rsidP="00AE7941">
      <w:pPr>
        <w:pStyle w:val="ListParagraph"/>
        <w:ind w:left="360"/>
        <w:rPr>
          <w:rFonts w:ascii="Arial" w:hAnsi="Arial" w:cs="Arial"/>
          <w:color w:val="000000"/>
          <w:sz w:val="24"/>
          <w:szCs w:val="24"/>
        </w:rPr>
      </w:pPr>
    </w:p>
    <w:p w:rsidR="00AE7941" w:rsidRPr="00076AE6" w:rsidRDefault="00076AE6" w:rsidP="00076AE6">
      <w:pPr>
        <w:pStyle w:val="ListParagraph"/>
        <w:numPr>
          <w:ilvl w:val="0"/>
          <w:numId w:val="6"/>
        </w:numPr>
        <w:rPr>
          <w:rFonts w:ascii="Arial" w:hAnsi="Arial" w:cs="Arial"/>
          <w:color w:val="000000"/>
          <w:sz w:val="24"/>
          <w:szCs w:val="24"/>
        </w:rPr>
      </w:pPr>
      <w:r w:rsidRPr="00076AE6">
        <w:rPr>
          <w:rFonts w:ascii="Arial" w:hAnsi="Arial" w:cs="Arial"/>
          <w:color w:val="000000"/>
          <w:sz w:val="24"/>
          <w:szCs w:val="24"/>
        </w:rPr>
        <w:t>Interaction with Other Policies and Procedures</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9</w:t>
      </w:r>
    </w:p>
    <w:p w:rsidR="00AE7941" w:rsidRPr="00AE7941" w:rsidRDefault="00AE7941" w:rsidP="00AE7941">
      <w:pPr>
        <w:pStyle w:val="ListParagraph"/>
        <w:rPr>
          <w:rFonts w:ascii="Arial" w:hAnsi="Arial" w:cs="Arial"/>
          <w:color w:val="000000"/>
          <w:sz w:val="24"/>
          <w:szCs w:val="24"/>
        </w:rPr>
      </w:pPr>
    </w:p>
    <w:p w:rsidR="00AE7941" w:rsidRDefault="00076AE6" w:rsidP="00076AE6">
      <w:pPr>
        <w:pStyle w:val="ListParagraph"/>
        <w:numPr>
          <w:ilvl w:val="0"/>
          <w:numId w:val="6"/>
        </w:numPr>
        <w:rPr>
          <w:rFonts w:ascii="Arial" w:hAnsi="Arial" w:cs="Arial"/>
          <w:color w:val="000000"/>
          <w:sz w:val="24"/>
          <w:szCs w:val="24"/>
        </w:rPr>
      </w:pPr>
      <w:r w:rsidRPr="00076AE6">
        <w:rPr>
          <w:rFonts w:ascii="Arial" w:hAnsi="Arial" w:cs="Arial"/>
          <w:color w:val="000000"/>
          <w:sz w:val="24"/>
          <w:szCs w:val="24"/>
        </w:rPr>
        <w:t>Monitoring and Review</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t>9</w:t>
      </w:r>
    </w:p>
    <w:p w:rsidR="00076AE6" w:rsidRPr="00076AE6" w:rsidRDefault="00076AE6" w:rsidP="00076AE6">
      <w:pPr>
        <w:pStyle w:val="ListParagraph"/>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Default="00076AE6" w:rsidP="00076AE6">
      <w:pPr>
        <w:pStyle w:val="ListParagraph"/>
        <w:ind w:left="360"/>
        <w:rPr>
          <w:rFonts w:ascii="Arial" w:hAnsi="Arial" w:cs="Arial"/>
          <w:color w:val="000000"/>
          <w:sz w:val="24"/>
          <w:szCs w:val="24"/>
        </w:rPr>
      </w:pPr>
    </w:p>
    <w:p w:rsidR="00076AE6" w:rsidRPr="00076AE6" w:rsidRDefault="00076AE6" w:rsidP="00076AE6">
      <w:pPr>
        <w:pStyle w:val="ListParagraph"/>
        <w:ind w:left="360"/>
        <w:rPr>
          <w:rFonts w:ascii="Arial" w:hAnsi="Arial" w:cs="Arial"/>
          <w:color w:val="000000"/>
          <w:sz w:val="24"/>
          <w:szCs w:val="24"/>
        </w:rPr>
      </w:pPr>
    </w:p>
    <w:p w:rsidR="00DD56D7" w:rsidRDefault="00DD56D7" w:rsidP="00A9400C">
      <w:pPr>
        <w:pStyle w:val="ListParagraph"/>
        <w:ind w:left="360"/>
        <w:rPr>
          <w:rFonts w:ascii="Arial" w:hAnsi="Arial" w:cs="Arial"/>
          <w:b/>
          <w:sz w:val="24"/>
          <w:szCs w:val="24"/>
        </w:rPr>
      </w:pPr>
      <w:r>
        <w:rPr>
          <w:rFonts w:ascii="Arial" w:hAnsi="Arial" w:cs="Arial"/>
          <w:b/>
          <w:sz w:val="24"/>
          <w:szCs w:val="24"/>
        </w:rPr>
        <w:lastRenderedPageBreak/>
        <w:t>BUDGET MANAGEMENT POLICY</w:t>
      </w:r>
    </w:p>
    <w:p w:rsidR="001D3311" w:rsidRDefault="001D3311" w:rsidP="00A9400C">
      <w:pPr>
        <w:pStyle w:val="ListParagraph"/>
        <w:ind w:left="360"/>
        <w:rPr>
          <w:rFonts w:ascii="Arial" w:hAnsi="Arial" w:cs="Arial"/>
          <w:b/>
          <w:sz w:val="24"/>
          <w:szCs w:val="24"/>
        </w:rPr>
      </w:pPr>
    </w:p>
    <w:p w:rsidR="001D3311" w:rsidRDefault="003F3417" w:rsidP="00A9400C">
      <w:pPr>
        <w:pStyle w:val="ListParagraph"/>
        <w:numPr>
          <w:ilvl w:val="0"/>
          <w:numId w:val="7"/>
        </w:numPr>
        <w:rPr>
          <w:rFonts w:ascii="Arial" w:hAnsi="Arial" w:cs="Arial"/>
          <w:b/>
          <w:sz w:val="24"/>
          <w:szCs w:val="24"/>
        </w:rPr>
      </w:pPr>
      <w:r w:rsidRPr="001D3311">
        <w:rPr>
          <w:rFonts w:ascii="Arial" w:hAnsi="Arial" w:cs="Arial"/>
          <w:b/>
          <w:sz w:val="24"/>
          <w:szCs w:val="24"/>
        </w:rPr>
        <w:t>Introduction</w:t>
      </w:r>
    </w:p>
    <w:p w:rsidR="001D3311" w:rsidRDefault="003F3417" w:rsidP="00A9400C">
      <w:pPr>
        <w:ind w:left="360"/>
        <w:rPr>
          <w:rFonts w:ascii="Arial" w:hAnsi="Arial" w:cs="Arial"/>
          <w:b/>
          <w:sz w:val="24"/>
          <w:szCs w:val="24"/>
        </w:rPr>
      </w:pPr>
      <w:r w:rsidRPr="001D3311">
        <w:rPr>
          <w:rFonts w:ascii="Arial" w:hAnsi="Arial" w:cs="Arial"/>
          <w:sz w:val="24"/>
          <w:szCs w:val="24"/>
        </w:rPr>
        <w:t xml:space="preserve">The CCG will produce and publish an annual commissioning plan that explains how it proposes to discharge its financial duties. </w:t>
      </w:r>
      <w:r w:rsidR="001D3311">
        <w:rPr>
          <w:rFonts w:ascii="Arial" w:hAnsi="Arial" w:cs="Arial"/>
          <w:sz w:val="24"/>
          <w:szCs w:val="24"/>
        </w:rPr>
        <w:t xml:space="preserve"> </w:t>
      </w:r>
      <w:r w:rsidRPr="001D3311">
        <w:rPr>
          <w:rFonts w:ascii="Arial" w:hAnsi="Arial" w:cs="Arial"/>
          <w:sz w:val="24"/>
          <w:szCs w:val="24"/>
        </w:rPr>
        <w:t>This will be supported by comprehensive medium term financial plans and annual budgets.</w:t>
      </w:r>
    </w:p>
    <w:p w:rsidR="001D3311" w:rsidRDefault="003F3417" w:rsidP="00A9400C">
      <w:pPr>
        <w:ind w:left="360"/>
        <w:rPr>
          <w:rFonts w:ascii="Arial" w:hAnsi="Arial" w:cs="Arial"/>
          <w:b/>
          <w:sz w:val="24"/>
          <w:szCs w:val="24"/>
        </w:rPr>
      </w:pPr>
      <w:r w:rsidRPr="00076AE6">
        <w:rPr>
          <w:rFonts w:ascii="Arial" w:hAnsi="Arial" w:cs="Arial"/>
          <w:sz w:val="24"/>
          <w:szCs w:val="24"/>
        </w:rPr>
        <w:t>Budget management incorporates the setting, monitoring and identification of action plans in</w:t>
      </w:r>
      <w:r w:rsidR="00CC28C4" w:rsidRPr="00076AE6">
        <w:rPr>
          <w:rFonts w:ascii="Arial" w:hAnsi="Arial" w:cs="Arial"/>
          <w:sz w:val="24"/>
          <w:szCs w:val="24"/>
        </w:rPr>
        <w:t xml:space="preserve"> relation to variances. </w:t>
      </w:r>
      <w:r w:rsidR="001D3311">
        <w:rPr>
          <w:rFonts w:ascii="Arial" w:hAnsi="Arial" w:cs="Arial"/>
          <w:sz w:val="24"/>
          <w:szCs w:val="24"/>
        </w:rPr>
        <w:t xml:space="preserve"> </w:t>
      </w:r>
      <w:r w:rsidR="00CC28C4" w:rsidRPr="00076AE6">
        <w:rPr>
          <w:rFonts w:ascii="Arial" w:hAnsi="Arial" w:cs="Arial"/>
          <w:sz w:val="24"/>
          <w:szCs w:val="24"/>
        </w:rPr>
        <w:t>The CCG’</w:t>
      </w:r>
      <w:r w:rsidRPr="00076AE6">
        <w:rPr>
          <w:rFonts w:ascii="Arial" w:hAnsi="Arial" w:cs="Arial"/>
          <w:sz w:val="24"/>
          <w:szCs w:val="24"/>
        </w:rPr>
        <w:t>s Prime Financial Policies sets out the principles of budgetary control and management to be adopted by the CCG.</w:t>
      </w:r>
    </w:p>
    <w:p w:rsidR="00CC28C4" w:rsidRPr="001D3311" w:rsidRDefault="003F3417" w:rsidP="00A9400C">
      <w:pPr>
        <w:ind w:left="360"/>
        <w:rPr>
          <w:rFonts w:ascii="Arial" w:hAnsi="Arial" w:cs="Arial"/>
          <w:b/>
          <w:sz w:val="24"/>
          <w:szCs w:val="24"/>
        </w:rPr>
      </w:pPr>
      <w:r w:rsidRPr="00076AE6">
        <w:rPr>
          <w:rFonts w:ascii="Arial" w:hAnsi="Arial" w:cs="Arial"/>
          <w:sz w:val="24"/>
          <w:szCs w:val="24"/>
        </w:rPr>
        <w:t xml:space="preserve">This budget management policy forms part of the overall budgetary control framework within the CCG </w:t>
      </w:r>
      <w:r w:rsidR="00CC28C4" w:rsidRPr="00076AE6">
        <w:rPr>
          <w:rFonts w:ascii="Arial" w:hAnsi="Arial" w:cs="Arial"/>
          <w:sz w:val="24"/>
          <w:szCs w:val="24"/>
        </w:rPr>
        <w:t>and complies with section 7 of the CCG’</w:t>
      </w:r>
      <w:r w:rsidRPr="00076AE6">
        <w:rPr>
          <w:rFonts w:ascii="Arial" w:hAnsi="Arial" w:cs="Arial"/>
          <w:sz w:val="24"/>
          <w:szCs w:val="24"/>
        </w:rPr>
        <w:t>s Prime Financial Policies</w:t>
      </w:r>
      <w:r w:rsidR="00CC28C4" w:rsidRPr="00076AE6">
        <w:rPr>
          <w:rFonts w:ascii="Arial" w:hAnsi="Arial" w:cs="Arial"/>
          <w:sz w:val="24"/>
          <w:szCs w:val="24"/>
        </w:rPr>
        <w:t>.  This document is intended to be read in conjunction with the CCG’s Prime Financial Policies.</w:t>
      </w:r>
    </w:p>
    <w:p w:rsidR="003F3417" w:rsidRDefault="003F3417" w:rsidP="00A9400C">
      <w:pPr>
        <w:pStyle w:val="ListParagraph"/>
        <w:numPr>
          <w:ilvl w:val="0"/>
          <w:numId w:val="7"/>
        </w:numPr>
        <w:rPr>
          <w:rFonts w:ascii="Arial" w:hAnsi="Arial" w:cs="Arial"/>
          <w:b/>
          <w:sz w:val="24"/>
          <w:szCs w:val="24"/>
        </w:rPr>
      </w:pPr>
      <w:r w:rsidRPr="00FD18D2">
        <w:rPr>
          <w:rFonts w:ascii="Arial" w:hAnsi="Arial" w:cs="Arial"/>
          <w:b/>
          <w:sz w:val="24"/>
          <w:szCs w:val="24"/>
        </w:rPr>
        <w:t>Purpose - the purpose of this policy is:</w:t>
      </w:r>
    </w:p>
    <w:p w:rsidR="004F0F5C" w:rsidRPr="00FD18D2" w:rsidRDefault="004F0F5C" w:rsidP="00A9400C">
      <w:pPr>
        <w:pStyle w:val="ListParagraph"/>
        <w:ind w:left="360"/>
        <w:rPr>
          <w:rFonts w:ascii="Arial" w:hAnsi="Arial" w:cs="Arial"/>
          <w:b/>
          <w:sz w:val="24"/>
          <w:szCs w:val="24"/>
        </w:rPr>
      </w:pPr>
    </w:p>
    <w:p w:rsidR="004F0F5C" w:rsidRDefault="003F3417" w:rsidP="00A9400C">
      <w:pPr>
        <w:pStyle w:val="ListParagraph"/>
        <w:numPr>
          <w:ilvl w:val="1"/>
          <w:numId w:val="7"/>
        </w:numPr>
        <w:rPr>
          <w:rFonts w:ascii="Arial" w:hAnsi="Arial" w:cs="Arial"/>
          <w:sz w:val="24"/>
          <w:szCs w:val="24"/>
        </w:rPr>
      </w:pPr>
      <w:r w:rsidRPr="004F0F5C">
        <w:rPr>
          <w:rFonts w:ascii="Arial" w:hAnsi="Arial" w:cs="Arial"/>
          <w:sz w:val="24"/>
          <w:szCs w:val="24"/>
        </w:rPr>
        <w:t>To ensure that budgets are systematically managed and controlled throughout the organisation.</w:t>
      </w:r>
    </w:p>
    <w:p w:rsidR="004F0F5C" w:rsidRDefault="003F3417" w:rsidP="00A9400C">
      <w:pPr>
        <w:pStyle w:val="ListParagraph"/>
        <w:numPr>
          <w:ilvl w:val="1"/>
          <w:numId w:val="7"/>
        </w:numPr>
        <w:rPr>
          <w:rFonts w:ascii="Arial" w:hAnsi="Arial" w:cs="Arial"/>
          <w:sz w:val="24"/>
          <w:szCs w:val="24"/>
        </w:rPr>
      </w:pPr>
      <w:r w:rsidRPr="004F0F5C">
        <w:rPr>
          <w:rFonts w:ascii="Arial" w:hAnsi="Arial" w:cs="Arial"/>
          <w:sz w:val="24"/>
          <w:szCs w:val="24"/>
        </w:rPr>
        <w:t>To ensure there is a standardised approach to budget identification and monitoring throughout the organisation.</w:t>
      </w:r>
    </w:p>
    <w:p w:rsidR="004F0F5C" w:rsidRDefault="003F3417" w:rsidP="00A9400C">
      <w:pPr>
        <w:pStyle w:val="ListParagraph"/>
        <w:numPr>
          <w:ilvl w:val="1"/>
          <w:numId w:val="7"/>
        </w:numPr>
        <w:rPr>
          <w:rFonts w:ascii="Arial" w:hAnsi="Arial" w:cs="Arial"/>
          <w:sz w:val="24"/>
          <w:szCs w:val="24"/>
        </w:rPr>
      </w:pPr>
      <w:r w:rsidRPr="004F0F5C">
        <w:rPr>
          <w:rFonts w:ascii="Arial" w:hAnsi="Arial" w:cs="Arial"/>
          <w:sz w:val="24"/>
          <w:szCs w:val="24"/>
        </w:rPr>
        <w:t>To conform to best practice in terms of governance and control of budgets.</w:t>
      </w:r>
    </w:p>
    <w:p w:rsidR="004F0F5C" w:rsidRDefault="003F3417" w:rsidP="00A9400C">
      <w:pPr>
        <w:pStyle w:val="ListParagraph"/>
        <w:numPr>
          <w:ilvl w:val="1"/>
          <w:numId w:val="7"/>
        </w:numPr>
        <w:rPr>
          <w:rFonts w:ascii="Arial" w:hAnsi="Arial" w:cs="Arial"/>
          <w:sz w:val="24"/>
          <w:szCs w:val="24"/>
        </w:rPr>
      </w:pPr>
      <w:r w:rsidRPr="004F0F5C">
        <w:rPr>
          <w:rFonts w:ascii="Arial" w:hAnsi="Arial" w:cs="Arial"/>
          <w:sz w:val="24"/>
          <w:szCs w:val="24"/>
        </w:rPr>
        <w:t>To ensure that all staff are aware of their responsibilities in respect of budget management.</w:t>
      </w:r>
    </w:p>
    <w:p w:rsidR="004F0F5C" w:rsidRDefault="003F3417" w:rsidP="00A9400C">
      <w:pPr>
        <w:pStyle w:val="ListParagraph"/>
        <w:numPr>
          <w:ilvl w:val="1"/>
          <w:numId w:val="7"/>
        </w:numPr>
        <w:rPr>
          <w:rFonts w:ascii="Arial" w:hAnsi="Arial" w:cs="Arial"/>
          <w:sz w:val="24"/>
          <w:szCs w:val="24"/>
        </w:rPr>
      </w:pPr>
      <w:r w:rsidRPr="004F0F5C">
        <w:rPr>
          <w:rFonts w:ascii="Arial" w:hAnsi="Arial" w:cs="Arial"/>
          <w:sz w:val="24"/>
          <w:szCs w:val="24"/>
        </w:rPr>
        <w:t>To ensure all allocations and budgets are documented and approved in line with the CCG scheme of delegation.</w:t>
      </w:r>
    </w:p>
    <w:p w:rsidR="003F3417" w:rsidRPr="004F0F5C" w:rsidRDefault="003F3417" w:rsidP="00A9400C">
      <w:pPr>
        <w:pStyle w:val="ListParagraph"/>
        <w:numPr>
          <w:ilvl w:val="1"/>
          <w:numId w:val="7"/>
        </w:numPr>
        <w:rPr>
          <w:rFonts w:ascii="Arial" w:hAnsi="Arial" w:cs="Arial"/>
          <w:sz w:val="24"/>
          <w:szCs w:val="24"/>
        </w:rPr>
      </w:pPr>
      <w:r w:rsidRPr="004F0F5C">
        <w:rPr>
          <w:rFonts w:ascii="Arial" w:hAnsi="Arial" w:cs="Arial"/>
          <w:sz w:val="24"/>
          <w:szCs w:val="24"/>
        </w:rPr>
        <w:t>To ensure that all adverse variances against budget are investigated and corrective action plans put in place, if required.</w:t>
      </w:r>
    </w:p>
    <w:p w:rsidR="00F07E6E" w:rsidRPr="00076AE6" w:rsidRDefault="00F07E6E" w:rsidP="00A9400C">
      <w:pPr>
        <w:pStyle w:val="ListParagraph"/>
        <w:ind w:left="360"/>
        <w:rPr>
          <w:rFonts w:ascii="Arial" w:hAnsi="Arial" w:cs="Arial"/>
          <w:sz w:val="24"/>
          <w:szCs w:val="24"/>
        </w:rPr>
      </w:pPr>
    </w:p>
    <w:p w:rsidR="00F07E6E" w:rsidRDefault="003F3417" w:rsidP="00A9400C">
      <w:pPr>
        <w:pStyle w:val="ListParagraph"/>
        <w:numPr>
          <w:ilvl w:val="0"/>
          <w:numId w:val="7"/>
        </w:numPr>
        <w:rPr>
          <w:rFonts w:ascii="Arial" w:hAnsi="Arial" w:cs="Arial"/>
          <w:b/>
          <w:sz w:val="24"/>
          <w:szCs w:val="24"/>
        </w:rPr>
      </w:pPr>
      <w:r w:rsidRPr="000D1D8E">
        <w:rPr>
          <w:rFonts w:ascii="Arial" w:hAnsi="Arial" w:cs="Arial"/>
          <w:b/>
          <w:sz w:val="24"/>
          <w:szCs w:val="24"/>
        </w:rPr>
        <w:t>Scope</w:t>
      </w:r>
    </w:p>
    <w:p w:rsidR="00F27B35" w:rsidRPr="000D1D8E" w:rsidRDefault="00F27B35" w:rsidP="00A9400C">
      <w:pPr>
        <w:pStyle w:val="ListParagraph"/>
        <w:ind w:left="360"/>
        <w:rPr>
          <w:rFonts w:ascii="Arial" w:hAnsi="Arial" w:cs="Arial"/>
          <w:b/>
          <w:sz w:val="24"/>
          <w:szCs w:val="24"/>
        </w:rPr>
      </w:pPr>
    </w:p>
    <w:p w:rsidR="003F3417" w:rsidRPr="00076AE6" w:rsidRDefault="003F3417" w:rsidP="00A9400C">
      <w:pPr>
        <w:pStyle w:val="ListParagraph"/>
        <w:ind w:left="360"/>
        <w:rPr>
          <w:rFonts w:ascii="Arial" w:hAnsi="Arial" w:cs="Arial"/>
          <w:sz w:val="24"/>
          <w:szCs w:val="24"/>
        </w:rPr>
      </w:pPr>
      <w:r w:rsidRPr="00076AE6">
        <w:rPr>
          <w:rFonts w:ascii="Arial" w:hAnsi="Arial" w:cs="Arial"/>
          <w:sz w:val="24"/>
          <w:szCs w:val="24"/>
        </w:rPr>
        <w:t xml:space="preserve">This policy applies to all NHS </w:t>
      </w:r>
      <w:r w:rsidR="00F07E6E" w:rsidRPr="00076AE6">
        <w:rPr>
          <w:rFonts w:ascii="Arial" w:hAnsi="Arial" w:cs="Arial"/>
          <w:sz w:val="24"/>
          <w:szCs w:val="24"/>
        </w:rPr>
        <w:t>Barnsley</w:t>
      </w:r>
      <w:r w:rsidRPr="00076AE6">
        <w:rPr>
          <w:rFonts w:ascii="Arial" w:hAnsi="Arial" w:cs="Arial"/>
          <w:sz w:val="24"/>
          <w:szCs w:val="24"/>
        </w:rPr>
        <w:t xml:space="preserve"> CCG staff, with particular reference to managers who are assigned budgetary responsibility within the organisation.</w:t>
      </w:r>
    </w:p>
    <w:p w:rsidR="00F07E6E" w:rsidRPr="00076AE6" w:rsidRDefault="00F07E6E" w:rsidP="00A9400C">
      <w:pPr>
        <w:pStyle w:val="ListParagraph"/>
        <w:ind w:left="360"/>
        <w:rPr>
          <w:rFonts w:ascii="Arial" w:hAnsi="Arial" w:cs="Arial"/>
          <w:b/>
          <w:sz w:val="24"/>
          <w:szCs w:val="24"/>
        </w:rPr>
      </w:pPr>
    </w:p>
    <w:p w:rsidR="003F3417" w:rsidRDefault="003F3417" w:rsidP="00A9400C">
      <w:pPr>
        <w:pStyle w:val="ListParagraph"/>
        <w:numPr>
          <w:ilvl w:val="0"/>
          <w:numId w:val="7"/>
        </w:numPr>
        <w:rPr>
          <w:rFonts w:ascii="Arial" w:hAnsi="Arial" w:cs="Arial"/>
          <w:b/>
          <w:sz w:val="24"/>
          <w:szCs w:val="24"/>
        </w:rPr>
      </w:pPr>
      <w:r w:rsidRPr="00523002">
        <w:rPr>
          <w:rFonts w:ascii="Arial" w:hAnsi="Arial" w:cs="Arial"/>
          <w:b/>
          <w:sz w:val="24"/>
          <w:szCs w:val="24"/>
        </w:rPr>
        <w:t>Roles and Responsibilities</w:t>
      </w:r>
    </w:p>
    <w:p w:rsidR="001E3A1F" w:rsidRPr="00523002" w:rsidRDefault="001E3A1F" w:rsidP="00A9400C">
      <w:pPr>
        <w:pStyle w:val="ListParagraph"/>
        <w:ind w:left="360"/>
        <w:rPr>
          <w:rFonts w:ascii="Arial" w:hAnsi="Arial" w:cs="Arial"/>
          <w:b/>
          <w:sz w:val="24"/>
          <w:szCs w:val="24"/>
        </w:rPr>
      </w:pPr>
    </w:p>
    <w:p w:rsidR="00E86140" w:rsidRDefault="003F3417" w:rsidP="00A9400C">
      <w:pPr>
        <w:pStyle w:val="ListParagraph"/>
        <w:numPr>
          <w:ilvl w:val="1"/>
          <w:numId w:val="7"/>
        </w:numPr>
        <w:rPr>
          <w:rFonts w:ascii="Arial" w:hAnsi="Arial" w:cs="Arial"/>
          <w:b/>
          <w:sz w:val="24"/>
          <w:szCs w:val="24"/>
        </w:rPr>
      </w:pPr>
      <w:r w:rsidRPr="00F47647">
        <w:rPr>
          <w:rFonts w:ascii="Arial" w:hAnsi="Arial" w:cs="Arial"/>
          <w:b/>
          <w:sz w:val="24"/>
          <w:szCs w:val="24"/>
        </w:rPr>
        <w:t>The CCG Governi</w:t>
      </w:r>
      <w:r w:rsidR="00A34DE0">
        <w:rPr>
          <w:rFonts w:ascii="Arial" w:hAnsi="Arial" w:cs="Arial"/>
          <w:b/>
          <w:sz w:val="24"/>
          <w:szCs w:val="24"/>
        </w:rPr>
        <w:t>ng Body will be responsible for:</w:t>
      </w:r>
    </w:p>
    <w:p w:rsidR="00A34DE0" w:rsidRPr="00F47647" w:rsidRDefault="00A34DE0" w:rsidP="00A9400C">
      <w:pPr>
        <w:pStyle w:val="ListParagraph"/>
        <w:ind w:left="792"/>
        <w:rPr>
          <w:rFonts w:ascii="Arial" w:hAnsi="Arial" w:cs="Arial"/>
          <w:b/>
          <w:sz w:val="24"/>
          <w:szCs w:val="24"/>
        </w:rPr>
      </w:pPr>
    </w:p>
    <w:p w:rsidR="00E86140" w:rsidRDefault="003F3417" w:rsidP="00A9400C">
      <w:pPr>
        <w:pStyle w:val="ListParagraph"/>
        <w:numPr>
          <w:ilvl w:val="2"/>
          <w:numId w:val="7"/>
        </w:numPr>
        <w:ind w:left="1418" w:hanging="698"/>
        <w:rPr>
          <w:rFonts w:ascii="Arial" w:hAnsi="Arial" w:cs="Arial"/>
          <w:sz w:val="24"/>
          <w:szCs w:val="24"/>
        </w:rPr>
      </w:pPr>
      <w:r w:rsidRPr="00E86140">
        <w:rPr>
          <w:rFonts w:ascii="Arial" w:hAnsi="Arial" w:cs="Arial"/>
          <w:sz w:val="24"/>
          <w:szCs w:val="24"/>
        </w:rPr>
        <w:t>Approval of the CCG’s commissioning and corporate (running cost) budgets to meet the CCG’s financial duties.</w:t>
      </w:r>
    </w:p>
    <w:p w:rsidR="00E86140" w:rsidRDefault="003F3417" w:rsidP="00A9400C">
      <w:pPr>
        <w:pStyle w:val="ListParagraph"/>
        <w:numPr>
          <w:ilvl w:val="2"/>
          <w:numId w:val="7"/>
        </w:numPr>
        <w:ind w:left="1418" w:hanging="698"/>
        <w:rPr>
          <w:rFonts w:ascii="Arial" w:hAnsi="Arial" w:cs="Arial"/>
          <w:sz w:val="24"/>
          <w:szCs w:val="24"/>
        </w:rPr>
      </w:pPr>
      <w:r w:rsidRPr="00E86140">
        <w:rPr>
          <w:rFonts w:ascii="Arial" w:hAnsi="Arial" w:cs="Arial"/>
          <w:sz w:val="24"/>
          <w:szCs w:val="24"/>
        </w:rPr>
        <w:t>Approval of changes to budgets where variation would have a significant impact on the overall approved levels of income and expenditure or the CCG’s ability to achieve its strategic aims.</w:t>
      </w:r>
    </w:p>
    <w:p w:rsidR="00E86140" w:rsidRDefault="003F3417" w:rsidP="00A9400C">
      <w:pPr>
        <w:pStyle w:val="ListParagraph"/>
        <w:numPr>
          <w:ilvl w:val="2"/>
          <w:numId w:val="7"/>
        </w:numPr>
        <w:ind w:left="1418" w:hanging="698"/>
        <w:rPr>
          <w:rFonts w:ascii="Arial" w:hAnsi="Arial" w:cs="Arial"/>
          <w:sz w:val="24"/>
          <w:szCs w:val="24"/>
        </w:rPr>
      </w:pPr>
      <w:r w:rsidRPr="00E86140">
        <w:rPr>
          <w:rFonts w:ascii="Arial" w:hAnsi="Arial" w:cs="Arial"/>
          <w:sz w:val="24"/>
          <w:szCs w:val="24"/>
        </w:rPr>
        <w:lastRenderedPageBreak/>
        <w:t>Approve arrangements for risk sharing and/or risk pooling with other organisations (e.g. pooled funds or pooled budget arrangements).</w:t>
      </w:r>
    </w:p>
    <w:p w:rsidR="00E86140" w:rsidRDefault="003F3417" w:rsidP="00A9400C">
      <w:pPr>
        <w:pStyle w:val="ListParagraph"/>
        <w:numPr>
          <w:ilvl w:val="2"/>
          <w:numId w:val="7"/>
        </w:numPr>
        <w:ind w:left="1418" w:hanging="698"/>
        <w:rPr>
          <w:rFonts w:ascii="Arial" w:hAnsi="Arial" w:cs="Arial"/>
          <w:sz w:val="24"/>
          <w:szCs w:val="24"/>
        </w:rPr>
      </w:pPr>
      <w:r w:rsidRPr="00E86140">
        <w:rPr>
          <w:rFonts w:ascii="Arial" w:hAnsi="Arial" w:cs="Arial"/>
          <w:sz w:val="24"/>
          <w:szCs w:val="24"/>
        </w:rPr>
        <w:t>Approval of the CCG’s detailed operational scheme of delegation.</w:t>
      </w:r>
    </w:p>
    <w:p w:rsidR="00F83BE6" w:rsidRPr="00F47647" w:rsidRDefault="003F3417" w:rsidP="00A9400C">
      <w:pPr>
        <w:pStyle w:val="ListParagraph"/>
        <w:numPr>
          <w:ilvl w:val="2"/>
          <w:numId w:val="7"/>
        </w:numPr>
        <w:ind w:left="1418" w:hanging="698"/>
        <w:rPr>
          <w:rFonts w:ascii="Arial" w:hAnsi="Arial" w:cs="Arial"/>
          <w:sz w:val="24"/>
          <w:szCs w:val="24"/>
        </w:rPr>
      </w:pPr>
      <w:r w:rsidRPr="00E86140">
        <w:rPr>
          <w:rFonts w:ascii="Arial" w:hAnsi="Arial" w:cs="Arial"/>
          <w:sz w:val="24"/>
          <w:szCs w:val="24"/>
        </w:rPr>
        <w:t>Recommending any changes to CCG Members on changes to the Constitution which includes the Prime Financial Policies.</w:t>
      </w:r>
    </w:p>
    <w:p w:rsidR="003F3417" w:rsidRPr="00F47647" w:rsidRDefault="00A34DE0" w:rsidP="00A9400C">
      <w:pPr>
        <w:ind w:firstLine="284"/>
        <w:rPr>
          <w:rFonts w:ascii="Arial" w:hAnsi="Arial" w:cs="Arial"/>
          <w:b/>
          <w:sz w:val="24"/>
          <w:szCs w:val="24"/>
        </w:rPr>
      </w:pPr>
      <w:r>
        <w:rPr>
          <w:rFonts w:ascii="Arial" w:hAnsi="Arial" w:cs="Arial"/>
          <w:b/>
          <w:sz w:val="24"/>
          <w:szCs w:val="24"/>
        </w:rPr>
        <w:t>4.2</w:t>
      </w:r>
      <w:r>
        <w:rPr>
          <w:rFonts w:ascii="Arial" w:hAnsi="Arial" w:cs="Arial"/>
          <w:b/>
          <w:sz w:val="24"/>
          <w:szCs w:val="24"/>
        </w:rPr>
        <w:tab/>
      </w:r>
      <w:r w:rsidR="003F3417" w:rsidRPr="00F47647">
        <w:rPr>
          <w:rFonts w:ascii="Arial" w:hAnsi="Arial" w:cs="Arial"/>
          <w:b/>
          <w:sz w:val="24"/>
          <w:szCs w:val="24"/>
        </w:rPr>
        <w:t>The Audit Committee will be responsible for</w:t>
      </w:r>
      <w:r>
        <w:rPr>
          <w:rFonts w:ascii="Arial" w:hAnsi="Arial" w:cs="Arial"/>
          <w:b/>
          <w:sz w:val="24"/>
          <w:szCs w:val="24"/>
        </w:rPr>
        <w:t>:</w:t>
      </w:r>
    </w:p>
    <w:p w:rsidR="00F47647" w:rsidRDefault="00B94FAD" w:rsidP="00A9400C">
      <w:pPr>
        <w:pStyle w:val="ListParagraph"/>
        <w:numPr>
          <w:ilvl w:val="2"/>
          <w:numId w:val="12"/>
        </w:numPr>
        <w:rPr>
          <w:rFonts w:ascii="Arial" w:hAnsi="Arial" w:cs="Arial"/>
          <w:sz w:val="24"/>
          <w:szCs w:val="24"/>
        </w:rPr>
      </w:pPr>
      <w:r w:rsidRPr="00F47647">
        <w:rPr>
          <w:rFonts w:ascii="Arial" w:hAnsi="Arial" w:cs="Arial"/>
          <w:sz w:val="24"/>
          <w:szCs w:val="24"/>
        </w:rPr>
        <w:t>Recommending for approval</w:t>
      </w:r>
      <w:r w:rsidR="003F3417" w:rsidRPr="00F47647">
        <w:rPr>
          <w:rFonts w:ascii="Arial" w:hAnsi="Arial" w:cs="Arial"/>
          <w:sz w:val="24"/>
          <w:szCs w:val="24"/>
        </w:rPr>
        <w:t xml:space="preserve"> all the CCG’s detailed financial policies, including this one.</w:t>
      </w:r>
    </w:p>
    <w:p w:rsidR="00A34DE0" w:rsidRDefault="003F3417" w:rsidP="00A9400C">
      <w:pPr>
        <w:pStyle w:val="ListParagraph"/>
        <w:numPr>
          <w:ilvl w:val="2"/>
          <w:numId w:val="12"/>
        </w:numPr>
        <w:rPr>
          <w:rFonts w:ascii="Arial" w:hAnsi="Arial" w:cs="Arial"/>
          <w:sz w:val="24"/>
          <w:szCs w:val="24"/>
        </w:rPr>
      </w:pPr>
      <w:r w:rsidRPr="00F47647">
        <w:rPr>
          <w:rFonts w:ascii="Arial" w:hAnsi="Arial" w:cs="Arial"/>
          <w:sz w:val="24"/>
          <w:szCs w:val="24"/>
        </w:rPr>
        <w:t>Reviewing schedules of losses and special payments (e.g. compensations) and making recommendations to the Governing Body.</w:t>
      </w:r>
    </w:p>
    <w:p w:rsidR="003F3417" w:rsidRPr="00A34DE0" w:rsidRDefault="003F3417" w:rsidP="00A9400C">
      <w:pPr>
        <w:pStyle w:val="ListParagraph"/>
        <w:numPr>
          <w:ilvl w:val="2"/>
          <w:numId w:val="12"/>
        </w:numPr>
        <w:rPr>
          <w:rFonts w:ascii="Arial" w:hAnsi="Arial" w:cs="Arial"/>
          <w:sz w:val="24"/>
          <w:szCs w:val="24"/>
        </w:rPr>
      </w:pPr>
      <w:r w:rsidRPr="00A34DE0">
        <w:rPr>
          <w:rFonts w:ascii="Arial" w:hAnsi="Arial" w:cs="Arial"/>
          <w:sz w:val="24"/>
          <w:szCs w:val="24"/>
        </w:rPr>
        <w:t>Ensuring there is a biennial review of the Standing Orders, Scheme of reservation and delegation and Prime Financial Policies and making recommendations to the Governing Body on required changes.</w:t>
      </w:r>
    </w:p>
    <w:p w:rsidR="00F83BE6" w:rsidRPr="00076AE6" w:rsidRDefault="00F83BE6" w:rsidP="00A9400C">
      <w:pPr>
        <w:pStyle w:val="ListParagraph"/>
        <w:rPr>
          <w:rFonts w:ascii="Arial" w:hAnsi="Arial" w:cs="Arial"/>
          <w:sz w:val="24"/>
          <w:szCs w:val="24"/>
        </w:rPr>
      </w:pPr>
    </w:p>
    <w:p w:rsidR="00E72D80" w:rsidRDefault="00E72D80" w:rsidP="00A9400C">
      <w:pPr>
        <w:pStyle w:val="ListParagraph"/>
        <w:numPr>
          <w:ilvl w:val="1"/>
          <w:numId w:val="12"/>
        </w:numPr>
        <w:ind w:left="709" w:hanging="425"/>
        <w:rPr>
          <w:rFonts w:ascii="Arial" w:hAnsi="Arial" w:cs="Arial"/>
          <w:b/>
          <w:sz w:val="24"/>
          <w:szCs w:val="24"/>
        </w:rPr>
      </w:pPr>
      <w:r w:rsidRPr="00A34DE0">
        <w:rPr>
          <w:rFonts w:ascii="Arial" w:hAnsi="Arial" w:cs="Arial"/>
          <w:b/>
          <w:sz w:val="24"/>
          <w:szCs w:val="24"/>
        </w:rPr>
        <w:t>The Finance and Performance committee will be responsible for:</w:t>
      </w:r>
    </w:p>
    <w:p w:rsidR="00A34DE0" w:rsidRPr="00A34DE0" w:rsidRDefault="00A34DE0" w:rsidP="00A9400C">
      <w:pPr>
        <w:pStyle w:val="ListParagraph"/>
        <w:ind w:left="885"/>
        <w:rPr>
          <w:rFonts w:ascii="Arial" w:hAnsi="Arial" w:cs="Arial"/>
          <w:b/>
          <w:sz w:val="24"/>
          <w:szCs w:val="24"/>
        </w:rPr>
      </w:pPr>
    </w:p>
    <w:p w:rsidR="00874F11" w:rsidRDefault="00686BA4" w:rsidP="00A9400C">
      <w:pPr>
        <w:pStyle w:val="ListParagraph"/>
        <w:numPr>
          <w:ilvl w:val="2"/>
          <w:numId w:val="12"/>
        </w:numPr>
        <w:rPr>
          <w:rFonts w:ascii="Arial" w:hAnsi="Arial" w:cs="Arial"/>
          <w:sz w:val="24"/>
          <w:szCs w:val="24"/>
        </w:rPr>
      </w:pPr>
      <w:r w:rsidRPr="00076AE6">
        <w:rPr>
          <w:rFonts w:ascii="Arial" w:hAnsi="Arial" w:cs="Arial"/>
          <w:sz w:val="24"/>
          <w:szCs w:val="24"/>
        </w:rPr>
        <w:t>The Committee will review and have oversight of finance and performance in relation to the following areas:</w:t>
      </w:r>
    </w:p>
    <w:p w:rsidR="00686BA4" w:rsidRPr="00874F11" w:rsidRDefault="00686BA4" w:rsidP="00A9400C">
      <w:pPr>
        <w:pStyle w:val="ListParagraph"/>
        <w:numPr>
          <w:ilvl w:val="3"/>
          <w:numId w:val="12"/>
        </w:numPr>
        <w:rPr>
          <w:rFonts w:ascii="Arial" w:hAnsi="Arial" w:cs="Arial"/>
          <w:sz w:val="24"/>
          <w:szCs w:val="24"/>
        </w:rPr>
      </w:pPr>
      <w:r w:rsidRPr="00874F11">
        <w:rPr>
          <w:rFonts w:ascii="Arial" w:hAnsi="Arial" w:cs="Arial"/>
          <w:sz w:val="24"/>
          <w:szCs w:val="24"/>
        </w:rPr>
        <w:t>performance against national and agreed targets;</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w:t>
      </w:r>
      <w:proofErr w:type="gramStart"/>
      <w:r w:rsidRPr="00076AE6">
        <w:rPr>
          <w:rFonts w:ascii="Arial" w:hAnsi="Arial" w:cs="Arial"/>
          <w:sz w:val="24"/>
          <w:szCs w:val="24"/>
        </w:rPr>
        <w:t>in</w:t>
      </w:r>
      <w:proofErr w:type="gramEnd"/>
      <w:r w:rsidRPr="00076AE6">
        <w:rPr>
          <w:rFonts w:ascii="Arial" w:hAnsi="Arial" w:cs="Arial"/>
          <w:sz w:val="24"/>
          <w:szCs w:val="24"/>
        </w:rPr>
        <w:t xml:space="preserve"> year’ financial position. Receiving a detailed report of the financial position and progress towards meeting the targets with the CCG plans;</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implementation of the QIPP schemes and receive updates on both the financial and activity performance of each scheme;</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achievement against CCG incentive schemes and receive reports of the actual and forecast performance to inform the success of incentive schemes;</w:t>
      </w:r>
    </w:p>
    <w:p w:rsidR="007F207F" w:rsidRPr="00DD4203"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implementation of investments / transformation schemes and receive updates outlining financial, activity and delivery against key performance indicators for each scheme;</w:t>
      </w:r>
    </w:p>
    <w:p w:rsidR="00CC7873" w:rsidRPr="00076AE6" w:rsidRDefault="00CC7873" w:rsidP="00A9400C">
      <w:pPr>
        <w:pStyle w:val="ListParagraph"/>
        <w:numPr>
          <w:ilvl w:val="2"/>
          <w:numId w:val="12"/>
        </w:numPr>
        <w:rPr>
          <w:rFonts w:ascii="Arial" w:hAnsi="Arial" w:cs="Arial"/>
          <w:sz w:val="24"/>
          <w:szCs w:val="24"/>
        </w:rPr>
      </w:pPr>
      <w:r w:rsidRPr="00076AE6">
        <w:rPr>
          <w:rFonts w:ascii="Arial" w:hAnsi="Arial" w:cs="Arial"/>
          <w:sz w:val="24"/>
          <w:szCs w:val="24"/>
        </w:rPr>
        <w:t>Reviewing schedules of receivables/payables balances and especially, the detail of balances over</w:t>
      </w:r>
      <w:r w:rsidR="00445F62">
        <w:rPr>
          <w:rFonts w:ascii="Arial" w:hAnsi="Arial" w:cs="Arial"/>
          <w:sz w:val="24"/>
          <w:szCs w:val="24"/>
        </w:rPr>
        <w:t xml:space="preserve"> £20,000</w:t>
      </w:r>
      <w:r w:rsidRPr="00076AE6">
        <w:rPr>
          <w:rFonts w:ascii="Arial" w:hAnsi="Arial" w:cs="Arial"/>
          <w:sz w:val="24"/>
          <w:szCs w:val="24"/>
        </w:rPr>
        <w:t xml:space="preserve"> and which are over six months old.</w:t>
      </w:r>
    </w:p>
    <w:p w:rsidR="00686BA4" w:rsidRPr="00076AE6" w:rsidRDefault="00686BA4" w:rsidP="00A9400C">
      <w:pPr>
        <w:pStyle w:val="ListParagraph"/>
        <w:numPr>
          <w:ilvl w:val="2"/>
          <w:numId w:val="12"/>
        </w:numPr>
        <w:rPr>
          <w:rFonts w:ascii="Arial" w:hAnsi="Arial" w:cs="Arial"/>
          <w:sz w:val="24"/>
          <w:szCs w:val="24"/>
        </w:rPr>
      </w:pPr>
      <w:r w:rsidRPr="00076AE6">
        <w:rPr>
          <w:rFonts w:ascii="Arial" w:hAnsi="Arial" w:cs="Arial"/>
          <w:sz w:val="24"/>
          <w:szCs w:val="24"/>
        </w:rPr>
        <w:t>The committee will also;</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Receive and review departmental delivery plans for indicators or performance areas by exception.</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Challenge delivery and rectification plans produced to achieve targets or improve performance.</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 xml:space="preserve">Ensure resolution of key performance issues raised by </w:t>
      </w:r>
      <w:proofErr w:type="gramStart"/>
      <w:r w:rsidRPr="00076AE6">
        <w:rPr>
          <w:rFonts w:ascii="Arial" w:hAnsi="Arial" w:cs="Arial"/>
          <w:sz w:val="24"/>
          <w:szCs w:val="24"/>
        </w:rPr>
        <w:t>accountable</w:t>
      </w:r>
      <w:proofErr w:type="gramEnd"/>
      <w:r w:rsidRPr="00076AE6">
        <w:rPr>
          <w:rFonts w:ascii="Arial" w:hAnsi="Arial" w:cs="Arial"/>
          <w:sz w:val="24"/>
          <w:szCs w:val="24"/>
        </w:rPr>
        <w:t xml:space="preserve"> members of the Management Team.</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Identify and allocate resources where appropriate to improve performance.</w:t>
      </w:r>
    </w:p>
    <w:p w:rsidR="00686BA4"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lastRenderedPageBreak/>
        <w:t>The Committee will fulfil the priorities of the Procurement Advisory Group</w:t>
      </w:r>
    </w:p>
    <w:p w:rsidR="00CC7873" w:rsidRPr="00076AE6" w:rsidRDefault="00686BA4" w:rsidP="00A9400C">
      <w:pPr>
        <w:pStyle w:val="ListParagraph"/>
        <w:numPr>
          <w:ilvl w:val="3"/>
          <w:numId w:val="12"/>
        </w:numPr>
        <w:rPr>
          <w:rFonts w:ascii="Arial" w:hAnsi="Arial" w:cs="Arial"/>
          <w:sz w:val="24"/>
          <w:szCs w:val="24"/>
        </w:rPr>
      </w:pPr>
      <w:r w:rsidRPr="00076AE6">
        <w:rPr>
          <w:rFonts w:ascii="Arial" w:hAnsi="Arial" w:cs="Arial"/>
          <w:sz w:val="24"/>
          <w:szCs w:val="24"/>
        </w:rPr>
        <w:t>The Committee will review the CCG’s Assurance Framework and Risk Register in accordance with the Integrated Risk Management Framework.</w:t>
      </w:r>
    </w:p>
    <w:p w:rsidR="00686BA4" w:rsidRPr="00076AE6" w:rsidRDefault="00CC7873" w:rsidP="00A9400C">
      <w:pPr>
        <w:pStyle w:val="ListParagraph"/>
        <w:numPr>
          <w:ilvl w:val="3"/>
          <w:numId w:val="12"/>
        </w:numPr>
        <w:rPr>
          <w:rFonts w:ascii="Arial" w:hAnsi="Arial" w:cs="Arial"/>
          <w:sz w:val="24"/>
          <w:szCs w:val="24"/>
        </w:rPr>
      </w:pPr>
      <w:r w:rsidRPr="00076AE6">
        <w:rPr>
          <w:rFonts w:ascii="Arial" w:hAnsi="Arial" w:cs="Arial"/>
          <w:sz w:val="24"/>
          <w:szCs w:val="24"/>
        </w:rPr>
        <w:t>Producing a monthly and an Annual report for the Governing Body.</w:t>
      </w:r>
    </w:p>
    <w:p w:rsidR="00E72D80" w:rsidRPr="00076AE6" w:rsidRDefault="00E72D80" w:rsidP="00A9400C">
      <w:pPr>
        <w:pStyle w:val="ListParagraph"/>
        <w:ind w:left="384"/>
        <w:rPr>
          <w:rFonts w:ascii="Arial" w:hAnsi="Arial" w:cs="Arial"/>
          <w:b/>
          <w:sz w:val="24"/>
          <w:szCs w:val="24"/>
        </w:rPr>
      </w:pPr>
    </w:p>
    <w:p w:rsidR="003F3417" w:rsidRDefault="003F3417" w:rsidP="00A9400C">
      <w:pPr>
        <w:pStyle w:val="ListParagraph"/>
        <w:numPr>
          <w:ilvl w:val="1"/>
          <w:numId w:val="12"/>
        </w:numPr>
        <w:rPr>
          <w:rFonts w:ascii="Arial" w:hAnsi="Arial" w:cs="Arial"/>
          <w:b/>
          <w:sz w:val="24"/>
          <w:szCs w:val="24"/>
        </w:rPr>
      </w:pPr>
      <w:r w:rsidRPr="00076AE6">
        <w:rPr>
          <w:rFonts w:ascii="Arial" w:hAnsi="Arial" w:cs="Arial"/>
          <w:b/>
          <w:sz w:val="24"/>
          <w:szCs w:val="24"/>
        </w:rPr>
        <w:t>The Chief Officer will be responsible for:</w:t>
      </w:r>
    </w:p>
    <w:p w:rsidR="00592DEA" w:rsidRPr="00076AE6" w:rsidRDefault="00592DEA" w:rsidP="00A9400C">
      <w:pPr>
        <w:pStyle w:val="ListParagraph"/>
        <w:ind w:left="885"/>
        <w:rPr>
          <w:rFonts w:ascii="Arial" w:hAnsi="Arial" w:cs="Arial"/>
          <w:b/>
          <w:sz w:val="24"/>
          <w:szCs w:val="24"/>
        </w:rPr>
      </w:pP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Preparing the CCGs operational scheme of delegation, which sets out those key operational decisions delegated to individual employees of the CCG.</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the CCG complies with certain of its statutory obligations, including its financial and accounting obligations.</w:t>
      </w:r>
    </w:p>
    <w:p w:rsidR="00F83BE6" w:rsidRPr="00076AE6" w:rsidRDefault="00F83BE6" w:rsidP="00A9400C">
      <w:pPr>
        <w:pStyle w:val="ListParagraph"/>
        <w:rPr>
          <w:rFonts w:ascii="Arial" w:hAnsi="Arial" w:cs="Arial"/>
          <w:sz w:val="24"/>
          <w:szCs w:val="24"/>
        </w:rPr>
      </w:pPr>
    </w:p>
    <w:p w:rsidR="003F3417" w:rsidRDefault="003F3417" w:rsidP="00A9400C">
      <w:pPr>
        <w:pStyle w:val="ListParagraph"/>
        <w:numPr>
          <w:ilvl w:val="1"/>
          <w:numId w:val="12"/>
        </w:numPr>
        <w:rPr>
          <w:rFonts w:ascii="Arial" w:hAnsi="Arial" w:cs="Arial"/>
          <w:b/>
          <w:sz w:val="24"/>
          <w:szCs w:val="24"/>
        </w:rPr>
      </w:pPr>
      <w:r w:rsidRPr="00076AE6">
        <w:rPr>
          <w:rFonts w:ascii="Arial" w:hAnsi="Arial" w:cs="Arial"/>
          <w:b/>
          <w:sz w:val="24"/>
          <w:szCs w:val="24"/>
        </w:rPr>
        <w:t>The Chief Finance Officer will be responsible for:</w:t>
      </w:r>
    </w:p>
    <w:p w:rsidR="00DE06BE" w:rsidRPr="00076AE6" w:rsidRDefault="00DE06BE" w:rsidP="00A9400C">
      <w:pPr>
        <w:pStyle w:val="ListParagraph"/>
        <w:ind w:left="885"/>
        <w:rPr>
          <w:rFonts w:ascii="Arial" w:hAnsi="Arial" w:cs="Arial"/>
          <w:b/>
          <w:sz w:val="24"/>
          <w:szCs w:val="24"/>
        </w:rPr>
      </w:pP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any person (contractor or their employees) empowered by the CCG to commit expenditure or authorised to obtain income is made aware of this policy.</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Providing financial reports in the form required by the Governing Body</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money drawn down from NHS England is only as required.</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Devising and maintaining systems of budgetary control.</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an adequate system of monitoring financial performance is in place.</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adequate training is delivered to budget holders and managers.</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the CCG has an accounting system that creates both management and financial accounts.</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Preparing detailed financial policies that underpin the CCGs Prime Financial Policies.</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the CCG has in place a system for checking and reporting of all breaches of financial policies.</w:t>
      </w:r>
    </w:p>
    <w:p w:rsidR="00F83BE6" w:rsidRPr="00076AE6" w:rsidRDefault="00F83BE6" w:rsidP="00A9400C">
      <w:pPr>
        <w:pStyle w:val="ListParagraph"/>
        <w:rPr>
          <w:rFonts w:ascii="Arial" w:hAnsi="Arial" w:cs="Arial"/>
          <w:sz w:val="24"/>
          <w:szCs w:val="24"/>
        </w:rPr>
      </w:pPr>
    </w:p>
    <w:p w:rsidR="003F3417" w:rsidRDefault="003F3417" w:rsidP="00A9400C">
      <w:pPr>
        <w:pStyle w:val="ListParagraph"/>
        <w:numPr>
          <w:ilvl w:val="1"/>
          <w:numId w:val="12"/>
        </w:numPr>
        <w:rPr>
          <w:rFonts w:ascii="Arial" w:hAnsi="Arial" w:cs="Arial"/>
          <w:b/>
          <w:sz w:val="24"/>
          <w:szCs w:val="24"/>
        </w:rPr>
      </w:pPr>
      <w:r w:rsidRPr="00076AE6">
        <w:rPr>
          <w:rFonts w:ascii="Arial" w:hAnsi="Arial" w:cs="Arial"/>
          <w:b/>
          <w:sz w:val="24"/>
          <w:szCs w:val="24"/>
        </w:rPr>
        <w:t>The Budget Manager will be responsible for:</w:t>
      </w:r>
    </w:p>
    <w:p w:rsidR="00740FB6" w:rsidRPr="00076AE6" w:rsidRDefault="00740FB6" w:rsidP="00A9400C">
      <w:pPr>
        <w:pStyle w:val="ListParagraph"/>
        <w:ind w:left="885"/>
        <w:rPr>
          <w:rFonts w:ascii="Arial" w:hAnsi="Arial" w:cs="Arial"/>
          <w:b/>
          <w:sz w:val="24"/>
          <w:szCs w:val="24"/>
        </w:rPr>
      </w:pP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W</w:t>
      </w:r>
      <w:r w:rsidR="00F83BE6" w:rsidRPr="00076AE6">
        <w:rPr>
          <w:rFonts w:ascii="Arial" w:hAnsi="Arial" w:cs="Arial"/>
          <w:sz w:val="24"/>
          <w:szCs w:val="24"/>
        </w:rPr>
        <w:t xml:space="preserve">orking with the CCG </w:t>
      </w:r>
      <w:r w:rsidRPr="00076AE6">
        <w:rPr>
          <w:rFonts w:ascii="Arial" w:hAnsi="Arial" w:cs="Arial"/>
          <w:sz w:val="24"/>
          <w:szCs w:val="24"/>
        </w:rPr>
        <w:t>finance teams to create a comprehensive, deliverable and affordable annual budget which represents value for money.</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Checking and agreeing that the individual elements of income, pay, non-pay and total annual budget are correct.</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 xml:space="preserve">Confirming that the year to date position from periodic reporting is as expected and correct, including identifying accruals where expenditure </w:t>
      </w:r>
      <w:r w:rsidRPr="00076AE6">
        <w:rPr>
          <w:rFonts w:ascii="Arial" w:hAnsi="Arial" w:cs="Arial"/>
          <w:sz w:val="24"/>
          <w:szCs w:val="24"/>
        </w:rPr>
        <w:lastRenderedPageBreak/>
        <w:t>has been committed and not yet invoiced, and explaining variances to the profiled budget.</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Informing the likely forecast expenditure position for the year-end.</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Identifying and delivering action plans in relation to forecast overspends against the approved budget.</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all invoices are checked, queried and paid on a timely basis and all debtor requests are raised on a timely basis.</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Identifying opportunities for savings, if required, to contribute to the delivery of the overall CCG position.</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Communicating changes that will affect the budget or forecast position so those changes can be incorporated into the overall forecast position for the CCG.</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Keeping within the constraints of their budget set for the financial year.</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Only committing expenditure in line with the CCG policies, procedures and scheme of delegation, and where an approved budget exists.</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 xml:space="preserve">Ensuring that any likely overspending or reduction of income, which cannot be met by </w:t>
      </w:r>
      <w:proofErr w:type="spellStart"/>
      <w:r w:rsidRPr="00076AE6">
        <w:rPr>
          <w:rFonts w:ascii="Arial" w:hAnsi="Arial" w:cs="Arial"/>
          <w:sz w:val="24"/>
          <w:szCs w:val="24"/>
        </w:rPr>
        <w:t>virement</w:t>
      </w:r>
      <w:proofErr w:type="spellEnd"/>
      <w:r w:rsidRPr="00076AE6">
        <w:rPr>
          <w:rFonts w:ascii="Arial" w:hAnsi="Arial" w:cs="Arial"/>
          <w:sz w:val="24"/>
          <w:szCs w:val="24"/>
        </w:rPr>
        <w:t>, is not incurred without the prior consent of the Governing Body.</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the approved budget is not used in whole or in part for any purpose other than that specifically authorised.</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 xml:space="preserve">Ensuring that any budget transfers or </w:t>
      </w:r>
      <w:proofErr w:type="spellStart"/>
      <w:r w:rsidRPr="00076AE6">
        <w:rPr>
          <w:rFonts w:ascii="Arial" w:hAnsi="Arial" w:cs="Arial"/>
          <w:sz w:val="24"/>
          <w:szCs w:val="24"/>
        </w:rPr>
        <w:t>virements</w:t>
      </w:r>
      <w:proofErr w:type="spellEnd"/>
      <w:r w:rsidRPr="00076AE6">
        <w:rPr>
          <w:rFonts w:ascii="Arial" w:hAnsi="Arial" w:cs="Arial"/>
          <w:sz w:val="24"/>
          <w:szCs w:val="24"/>
        </w:rPr>
        <w:t xml:space="preserve"> are requested through their named finance support and the document is signed off by them.</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Observing and complying with the CCG’s budgetary scheme of delegation listing authorised budget si</w:t>
      </w:r>
      <w:r w:rsidR="00F83BE6" w:rsidRPr="00076AE6">
        <w:rPr>
          <w:rFonts w:ascii="Arial" w:hAnsi="Arial" w:cs="Arial"/>
          <w:sz w:val="24"/>
          <w:szCs w:val="24"/>
        </w:rPr>
        <w:t>gnatories and financial limits</w:t>
      </w:r>
    </w:p>
    <w:p w:rsidR="00F83BE6" w:rsidRPr="00076AE6" w:rsidRDefault="00F83BE6" w:rsidP="00A9400C">
      <w:pPr>
        <w:pStyle w:val="ListParagraph"/>
        <w:rPr>
          <w:rFonts w:ascii="Arial" w:hAnsi="Arial" w:cs="Arial"/>
          <w:sz w:val="24"/>
          <w:szCs w:val="24"/>
        </w:rPr>
      </w:pPr>
    </w:p>
    <w:p w:rsidR="003F3417" w:rsidRPr="00076AE6" w:rsidRDefault="003F3417" w:rsidP="00A9400C">
      <w:pPr>
        <w:pStyle w:val="ListParagraph"/>
        <w:numPr>
          <w:ilvl w:val="1"/>
          <w:numId w:val="12"/>
        </w:numPr>
        <w:rPr>
          <w:rFonts w:ascii="Arial" w:hAnsi="Arial" w:cs="Arial"/>
          <w:b/>
          <w:sz w:val="24"/>
          <w:szCs w:val="24"/>
        </w:rPr>
      </w:pPr>
      <w:r w:rsidRPr="00076AE6">
        <w:rPr>
          <w:rFonts w:ascii="Arial" w:hAnsi="Arial" w:cs="Arial"/>
          <w:b/>
          <w:sz w:val="24"/>
          <w:szCs w:val="24"/>
        </w:rPr>
        <w:t>The CCG finance team will be responsible for:</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Assisting the budget manager with budget setting and costing.</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regular reports are produced and distributed to the budget manager in line with the CCG internal and external reporting timetable.</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Training budget managers in the understanding and interpretation of the budget monitoring statements.</w:t>
      </w:r>
    </w:p>
    <w:p w:rsidR="003F3417" w:rsidRPr="00076AE6" w:rsidRDefault="003F3417" w:rsidP="00A9400C">
      <w:pPr>
        <w:pStyle w:val="ListParagraph"/>
        <w:numPr>
          <w:ilvl w:val="2"/>
          <w:numId w:val="12"/>
        </w:numPr>
        <w:rPr>
          <w:rFonts w:ascii="Arial" w:hAnsi="Arial" w:cs="Arial"/>
          <w:sz w:val="24"/>
          <w:szCs w:val="24"/>
        </w:rPr>
      </w:pPr>
      <w:r w:rsidRPr="00076AE6">
        <w:rPr>
          <w:rFonts w:ascii="Arial" w:hAnsi="Arial" w:cs="Arial"/>
          <w:sz w:val="24"/>
          <w:szCs w:val="24"/>
        </w:rPr>
        <w:t>Ensuring that the CCG financial rules, regulations and procedures are publicised and communicated throughout the organisation, and specifically to the budget managers.</w:t>
      </w:r>
    </w:p>
    <w:p w:rsidR="00F83BE6" w:rsidRPr="00076AE6" w:rsidRDefault="00F83BE6" w:rsidP="00A9400C">
      <w:pPr>
        <w:pStyle w:val="ListParagraph"/>
        <w:rPr>
          <w:rFonts w:ascii="Arial" w:hAnsi="Arial" w:cs="Arial"/>
          <w:sz w:val="24"/>
          <w:szCs w:val="24"/>
        </w:rPr>
      </w:pPr>
    </w:p>
    <w:p w:rsidR="003F3417" w:rsidRDefault="003F3417" w:rsidP="00A9400C">
      <w:pPr>
        <w:pStyle w:val="ListParagraph"/>
        <w:numPr>
          <w:ilvl w:val="0"/>
          <w:numId w:val="12"/>
        </w:numPr>
        <w:rPr>
          <w:rFonts w:ascii="Arial" w:hAnsi="Arial" w:cs="Arial"/>
          <w:b/>
          <w:sz w:val="24"/>
          <w:szCs w:val="24"/>
        </w:rPr>
      </w:pPr>
      <w:r w:rsidRPr="00076AE6">
        <w:rPr>
          <w:rFonts w:ascii="Arial" w:hAnsi="Arial" w:cs="Arial"/>
          <w:b/>
          <w:sz w:val="24"/>
          <w:szCs w:val="24"/>
        </w:rPr>
        <w:t>Reporting Framework</w:t>
      </w:r>
    </w:p>
    <w:p w:rsidR="00E443AF" w:rsidRPr="00076AE6" w:rsidRDefault="00E443AF" w:rsidP="00A9400C">
      <w:pPr>
        <w:pStyle w:val="ListParagraph"/>
        <w:ind w:left="525"/>
        <w:rPr>
          <w:rFonts w:ascii="Arial" w:hAnsi="Arial" w:cs="Arial"/>
          <w:b/>
          <w:sz w:val="24"/>
          <w:szCs w:val="24"/>
        </w:rPr>
      </w:pPr>
    </w:p>
    <w:p w:rsidR="003F3417" w:rsidRPr="00076AE6" w:rsidRDefault="003F3417" w:rsidP="00A9400C">
      <w:pPr>
        <w:pStyle w:val="ListParagraph"/>
        <w:numPr>
          <w:ilvl w:val="1"/>
          <w:numId w:val="13"/>
        </w:numPr>
        <w:rPr>
          <w:rFonts w:ascii="Arial" w:hAnsi="Arial" w:cs="Arial"/>
          <w:sz w:val="24"/>
          <w:szCs w:val="24"/>
        </w:rPr>
      </w:pPr>
      <w:r w:rsidRPr="00076AE6">
        <w:rPr>
          <w:rFonts w:ascii="Arial" w:hAnsi="Arial" w:cs="Arial"/>
          <w:sz w:val="24"/>
          <w:szCs w:val="24"/>
        </w:rPr>
        <w:t>Annual budgets will be produced and presented to the CCG Governing Body for approval prior to the start of each financial year.</w:t>
      </w:r>
    </w:p>
    <w:p w:rsidR="003F3417" w:rsidRPr="00076AE6" w:rsidRDefault="003F3417" w:rsidP="00A9400C">
      <w:pPr>
        <w:pStyle w:val="ListParagraph"/>
        <w:numPr>
          <w:ilvl w:val="1"/>
          <w:numId w:val="13"/>
        </w:numPr>
        <w:rPr>
          <w:rFonts w:ascii="Arial" w:hAnsi="Arial" w:cs="Arial"/>
          <w:sz w:val="24"/>
          <w:szCs w:val="24"/>
        </w:rPr>
      </w:pPr>
      <w:r w:rsidRPr="00076AE6">
        <w:rPr>
          <w:rFonts w:ascii="Arial" w:hAnsi="Arial" w:cs="Arial"/>
          <w:sz w:val="24"/>
          <w:szCs w:val="24"/>
        </w:rPr>
        <w:t>The agreed financial summary and narrative will be presented to the CCG Governing Body meeting including year to date actual and forecast positions.</w:t>
      </w:r>
    </w:p>
    <w:p w:rsidR="00CD7A75" w:rsidRDefault="003F3417" w:rsidP="00A9400C">
      <w:pPr>
        <w:pStyle w:val="ListParagraph"/>
        <w:numPr>
          <w:ilvl w:val="1"/>
          <w:numId w:val="13"/>
        </w:numPr>
        <w:rPr>
          <w:rFonts w:ascii="Arial" w:hAnsi="Arial" w:cs="Arial"/>
          <w:sz w:val="24"/>
          <w:szCs w:val="24"/>
        </w:rPr>
      </w:pPr>
      <w:r w:rsidRPr="00076AE6">
        <w:rPr>
          <w:rFonts w:ascii="Arial" w:hAnsi="Arial" w:cs="Arial"/>
          <w:sz w:val="24"/>
          <w:szCs w:val="24"/>
        </w:rPr>
        <w:lastRenderedPageBreak/>
        <w:t>Budget monitoring reports will be available to budget managers in line with the CCG financial reporting timetable, incorporating a variance analysis against the year to date and forecast budget.</w:t>
      </w:r>
    </w:p>
    <w:p w:rsidR="00CD7A75" w:rsidRPr="00CD7A75" w:rsidRDefault="00CD7A75" w:rsidP="00A9400C">
      <w:pPr>
        <w:pStyle w:val="ListParagraph"/>
        <w:ind w:left="885"/>
        <w:rPr>
          <w:rFonts w:ascii="Arial" w:hAnsi="Arial" w:cs="Arial"/>
          <w:sz w:val="24"/>
          <w:szCs w:val="24"/>
        </w:rPr>
      </w:pPr>
    </w:p>
    <w:p w:rsidR="003F3417" w:rsidRPr="00CD7A75" w:rsidRDefault="003F3417" w:rsidP="00A9400C">
      <w:pPr>
        <w:pStyle w:val="ListParagraph"/>
        <w:numPr>
          <w:ilvl w:val="0"/>
          <w:numId w:val="15"/>
        </w:numPr>
        <w:ind w:hanging="720"/>
        <w:rPr>
          <w:rFonts w:ascii="Arial" w:hAnsi="Arial" w:cs="Arial"/>
          <w:b/>
          <w:sz w:val="24"/>
          <w:szCs w:val="24"/>
        </w:rPr>
      </w:pPr>
      <w:r w:rsidRPr="00CD7A75">
        <w:rPr>
          <w:rFonts w:ascii="Arial" w:hAnsi="Arial" w:cs="Arial"/>
          <w:b/>
          <w:sz w:val="24"/>
          <w:szCs w:val="24"/>
        </w:rPr>
        <w:t>Interaction with Other Policies and Procedures</w:t>
      </w:r>
    </w:p>
    <w:p w:rsidR="00642631" w:rsidRDefault="003F3417" w:rsidP="00A9400C">
      <w:pPr>
        <w:ind w:left="709"/>
        <w:rPr>
          <w:rFonts w:ascii="Arial" w:hAnsi="Arial" w:cs="Arial"/>
          <w:sz w:val="24"/>
          <w:szCs w:val="24"/>
        </w:rPr>
      </w:pPr>
      <w:r w:rsidRPr="00076AE6">
        <w:rPr>
          <w:rFonts w:ascii="Arial" w:hAnsi="Arial" w:cs="Arial"/>
          <w:sz w:val="24"/>
          <w:szCs w:val="24"/>
        </w:rPr>
        <w:t>This policy should be read in conjunction with the following documents:</w:t>
      </w:r>
    </w:p>
    <w:p w:rsidR="00642631" w:rsidRDefault="00F83BE6" w:rsidP="00A9400C">
      <w:pPr>
        <w:pStyle w:val="ListParagraph"/>
        <w:numPr>
          <w:ilvl w:val="1"/>
          <w:numId w:val="17"/>
        </w:numPr>
        <w:ind w:hanging="654"/>
        <w:rPr>
          <w:rFonts w:ascii="Arial" w:hAnsi="Arial" w:cs="Arial"/>
          <w:sz w:val="24"/>
          <w:szCs w:val="24"/>
        </w:rPr>
      </w:pPr>
      <w:r w:rsidRPr="00642631">
        <w:rPr>
          <w:rFonts w:ascii="Arial" w:hAnsi="Arial" w:cs="Arial"/>
          <w:sz w:val="24"/>
          <w:szCs w:val="24"/>
        </w:rPr>
        <w:t xml:space="preserve">NHS </w:t>
      </w:r>
      <w:r w:rsidR="00F07E6E" w:rsidRPr="00642631">
        <w:rPr>
          <w:rFonts w:ascii="Arial" w:hAnsi="Arial" w:cs="Arial"/>
          <w:sz w:val="24"/>
          <w:szCs w:val="24"/>
        </w:rPr>
        <w:t>Barnsley</w:t>
      </w:r>
      <w:r w:rsidR="003F3417" w:rsidRPr="00642631">
        <w:rPr>
          <w:rFonts w:ascii="Arial" w:hAnsi="Arial" w:cs="Arial"/>
          <w:sz w:val="24"/>
          <w:szCs w:val="24"/>
        </w:rPr>
        <w:t xml:space="preserve"> CCG Prime Financial Policies.</w:t>
      </w:r>
    </w:p>
    <w:p w:rsidR="00642631" w:rsidRDefault="003F3417" w:rsidP="00A9400C">
      <w:pPr>
        <w:pStyle w:val="ListParagraph"/>
        <w:numPr>
          <w:ilvl w:val="1"/>
          <w:numId w:val="17"/>
        </w:numPr>
        <w:ind w:hanging="654"/>
        <w:rPr>
          <w:rFonts w:ascii="Arial" w:hAnsi="Arial" w:cs="Arial"/>
          <w:sz w:val="24"/>
          <w:szCs w:val="24"/>
        </w:rPr>
      </w:pPr>
      <w:r w:rsidRPr="00642631">
        <w:rPr>
          <w:rFonts w:ascii="Arial" w:hAnsi="Arial" w:cs="Arial"/>
          <w:sz w:val="24"/>
          <w:szCs w:val="24"/>
        </w:rPr>
        <w:t>Records Management Policy.</w:t>
      </w:r>
    </w:p>
    <w:p w:rsidR="003F3417" w:rsidRPr="00642631" w:rsidRDefault="003F3417" w:rsidP="00A9400C">
      <w:pPr>
        <w:pStyle w:val="ListParagraph"/>
        <w:numPr>
          <w:ilvl w:val="1"/>
          <w:numId w:val="17"/>
        </w:numPr>
        <w:ind w:hanging="654"/>
        <w:rPr>
          <w:rFonts w:ascii="Arial" w:hAnsi="Arial" w:cs="Arial"/>
          <w:sz w:val="24"/>
          <w:szCs w:val="24"/>
        </w:rPr>
      </w:pPr>
      <w:r w:rsidRPr="00642631">
        <w:rPr>
          <w:rFonts w:ascii="Arial" w:hAnsi="Arial" w:cs="Arial"/>
          <w:sz w:val="24"/>
          <w:szCs w:val="24"/>
        </w:rPr>
        <w:t xml:space="preserve">Further support in the understanding and use of this policy can be obtained from the </w:t>
      </w:r>
      <w:r w:rsidR="00F07E6E" w:rsidRPr="00642631">
        <w:rPr>
          <w:rFonts w:ascii="Arial" w:hAnsi="Arial" w:cs="Arial"/>
          <w:sz w:val="24"/>
          <w:szCs w:val="24"/>
        </w:rPr>
        <w:t>Barnsley</w:t>
      </w:r>
      <w:r w:rsidRPr="00642631">
        <w:rPr>
          <w:rFonts w:ascii="Arial" w:hAnsi="Arial" w:cs="Arial"/>
          <w:sz w:val="24"/>
          <w:szCs w:val="24"/>
        </w:rPr>
        <w:t xml:space="preserve"> CCG Finance Team </w:t>
      </w:r>
    </w:p>
    <w:p w:rsidR="003F3417" w:rsidRDefault="003F3417" w:rsidP="00A9400C">
      <w:pPr>
        <w:pStyle w:val="ListParagraph"/>
        <w:numPr>
          <w:ilvl w:val="1"/>
          <w:numId w:val="17"/>
        </w:numPr>
        <w:ind w:hanging="654"/>
        <w:rPr>
          <w:rFonts w:ascii="Arial" w:hAnsi="Arial" w:cs="Arial"/>
          <w:sz w:val="24"/>
          <w:szCs w:val="24"/>
        </w:rPr>
      </w:pPr>
      <w:r w:rsidRPr="00076AE6">
        <w:rPr>
          <w:rFonts w:ascii="Arial" w:hAnsi="Arial" w:cs="Arial"/>
          <w:sz w:val="24"/>
          <w:szCs w:val="24"/>
        </w:rPr>
        <w:t>Equality and Diversity Statement</w:t>
      </w:r>
      <w:r w:rsidR="00F83BE6" w:rsidRPr="00076AE6">
        <w:rPr>
          <w:rFonts w:ascii="Arial" w:hAnsi="Arial" w:cs="Arial"/>
          <w:sz w:val="24"/>
          <w:szCs w:val="24"/>
        </w:rPr>
        <w:t xml:space="preserve">: </w:t>
      </w:r>
      <w:r w:rsidRPr="00076AE6">
        <w:rPr>
          <w:rFonts w:ascii="Arial" w:hAnsi="Arial" w:cs="Arial"/>
          <w:sz w:val="24"/>
          <w:szCs w:val="24"/>
        </w:rPr>
        <w:t>The organisation is committed to ensuring that it treats its employees fairly, equitably and reasonably and that it does not discriminate against individuals or groups on the basis of their ethnic origin, physical or mental abilities, gender, age, religious beliefs or sexual orientation.</w:t>
      </w:r>
    </w:p>
    <w:p w:rsidR="00983A71" w:rsidRPr="00076AE6" w:rsidRDefault="00983A71" w:rsidP="00A9400C">
      <w:pPr>
        <w:pStyle w:val="ListParagraph"/>
        <w:ind w:left="1080"/>
        <w:rPr>
          <w:rFonts w:ascii="Arial" w:hAnsi="Arial" w:cs="Arial"/>
          <w:sz w:val="24"/>
          <w:szCs w:val="24"/>
        </w:rPr>
      </w:pPr>
    </w:p>
    <w:p w:rsidR="003F3417" w:rsidRDefault="003F3417" w:rsidP="00A9400C">
      <w:pPr>
        <w:pStyle w:val="ListParagraph"/>
        <w:numPr>
          <w:ilvl w:val="0"/>
          <w:numId w:val="19"/>
        </w:numPr>
        <w:ind w:left="709" w:hanging="709"/>
        <w:rPr>
          <w:rFonts w:ascii="Arial" w:hAnsi="Arial" w:cs="Arial"/>
          <w:b/>
          <w:sz w:val="24"/>
          <w:szCs w:val="24"/>
        </w:rPr>
      </w:pPr>
      <w:r w:rsidRPr="00983A71">
        <w:rPr>
          <w:rFonts w:ascii="Arial" w:hAnsi="Arial" w:cs="Arial"/>
          <w:b/>
          <w:sz w:val="24"/>
          <w:szCs w:val="24"/>
        </w:rPr>
        <w:t>Monitoring and Review</w:t>
      </w:r>
    </w:p>
    <w:p w:rsidR="00EE4B62" w:rsidRPr="00983A71" w:rsidRDefault="00EE4B62" w:rsidP="00A9400C">
      <w:pPr>
        <w:pStyle w:val="ListParagraph"/>
        <w:ind w:left="360"/>
        <w:rPr>
          <w:rFonts w:ascii="Arial" w:hAnsi="Arial" w:cs="Arial"/>
          <w:b/>
          <w:sz w:val="24"/>
          <w:szCs w:val="24"/>
        </w:rPr>
      </w:pPr>
    </w:p>
    <w:p w:rsidR="007A795D" w:rsidRDefault="003F3417" w:rsidP="00A9400C">
      <w:pPr>
        <w:pStyle w:val="ListParagraph"/>
        <w:numPr>
          <w:ilvl w:val="1"/>
          <w:numId w:val="20"/>
        </w:numPr>
        <w:tabs>
          <w:tab w:val="left" w:pos="1134"/>
        </w:tabs>
        <w:ind w:left="1134" w:hanging="708"/>
        <w:rPr>
          <w:rFonts w:ascii="Arial" w:hAnsi="Arial" w:cs="Arial"/>
          <w:sz w:val="24"/>
          <w:szCs w:val="24"/>
        </w:rPr>
      </w:pPr>
      <w:r w:rsidRPr="007A795D">
        <w:rPr>
          <w:rFonts w:ascii="Arial" w:hAnsi="Arial" w:cs="Arial"/>
          <w:sz w:val="24"/>
          <w:szCs w:val="24"/>
        </w:rPr>
        <w:t>Monitoring of compliance to this policy will be the responsibility of the Chief Finance Officer.</w:t>
      </w:r>
    </w:p>
    <w:p w:rsidR="007A795D" w:rsidRDefault="003F3417" w:rsidP="00A9400C">
      <w:pPr>
        <w:pStyle w:val="ListParagraph"/>
        <w:numPr>
          <w:ilvl w:val="1"/>
          <w:numId w:val="20"/>
        </w:numPr>
        <w:tabs>
          <w:tab w:val="left" w:pos="1134"/>
        </w:tabs>
        <w:ind w:left="1134" w:hanging="708"/>
        <w:rPr>
          <w:rFonts w:ascii="Arial" w:hAnsi="Arial" w:cs="Arial"/>
          <w:sz w:val="24"/>
          <w:szCs w:val="24"/>
        </w:rPr>
      </w:pPr>
      <w:r w:rsidRPr="007A795D">
        <w:rPr>
          <w:rFonts w:ascii="Arial" w:hAnsi="Arial" w:cs="Arial"/>
          <w:sz w:val="24"/>
          <w:szCs w:val="24"/>
        </w:rPr>
        <w:t>The budget monitoring framework within the CCG will be subject to periodic audit scrutiny.</w:t>
      </w:r>
    </w:p>
    <w:p w:rsidR="008676CF" w:rsidRPr="007A795D" w:rsidRDefault="003F3417" w:rsidP="00A9400C">
      <w:pPr>
        <w:pStyle w:val="ListParagraph"/>
        <w:numPr>
          <w:ilvl w:val="1"/>
          <w:numId w:val="20"/>
        </w:numPr>
        <w:tabs>
          <w:tab w:val="left" w:pos="1134"/>
        </w:tabs>
        <w:ind w:left="1134" w:hanging="708"/>
        <w:rPr>
          <w:rFonts w:ascii="Arial" w:hAnsi="Arial" w:cs="Arial"/>
          <w:sz w:val="24"/>
          <w:szCs w:val="24"/>
        </w:rPr>
      </w:pPr>
      <w:r w:rsidRPr="007A795D">
        <w:rPr>
          <w:rFonts w:ascii="Arial" w:hAnsi="Arial" w:cs="Arial"/>
          <w:sz w:val="24"/>
          <w:szCs w:val="24"/>
        </w:rPr>
        <w:t>The implementation and use of this policy will be monitored by the Audit Committee.</w:t>
      </w:r>
    </w:p>
    <w:sectPr w:rsidR="008676CF" w:rsidRPr="007A795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6B" w:rsidRDefault="00334D6B" w:rsidP="00334D6B">
      <w:pPr>
        <w:spacing w:after="0" w:line="240" w:lineRule="auto"/>
      </w:pPr>
      <w:r>
        <w:separator/>
      </w:r>
    </w:p>
  </w:endnote>
  <w:endnote w:type="continuationSeparator" w:id="0">
    <w:p w:rsidR="00334D6B" w:rsidRDefault="00334D6B" w:rsidP="0033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41101"/>
      <w:docPartObj>
        <w:docPartGallery w:val="Page Numbers (Bottom of Page)"/>
        <w:docPartUnique/>
      </w:docPartObj>
    </w:sdtPr>
    <w:sdtEndPr>
      <w:rPr>
        <w:noProof/>
      </w:rPr>
    </w:sdtEndPr>
    <w:sdtContent>
      <w:p w:rsidR="00334D6B" w:rsidRDefault="00334D6B">
        <w:pPr>
          <w:pStyle w:val="Footer"/>
          <w:jc w:val="right"/>
        </w:pPr>
        <w:r>
          <w:fldChar w:fldCharType="begin"/>
        </w:r>
        <w:r>
          <w:instrText xml:space="preserve"> PAGE   \* MERGEFORMAT </w:instrText>
        </w:r>
        <w:r>
          <w:fldChar w:fldCharType="separate"/>
        </w:r>
        <w:r w:rsidR="00A95284">
          <w:rPr>
            <w:noProof/>
          </w:rPr>
          <w:t>1</w:t>
        </w:r>
        <w:r>
          <w:rPr>
            <w:noProof/>
          </w:rPr>
          <w:fldChar w:fldCharType="end"/>
        </w:r>
      </w:p>
    </w:sdtContent>
  </w:sdt>
  <w:p w:rsidR="00334D6B" w:rsidRDefault="00334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6B" w:rsidRDefault="00334D6B" w:rsidP="00334D6B">
      <w:pPr>
        <w:spacing w:after="0" w:line="240" w:lineRule="auto"/>
      </w:pPr>
      <w:r>
        <w:separator/>
      </w:r>
    </w:p>
  </w:footnote>
  <w:footnote w:type="continuationSeparator" w:id="0">
    <w:p w:rsidR="00334D6B" w:rsidRDefault="00334D6B" w:rsidP="00334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02C"/>
    <w:multiLevelType w:val="multilevel"/>
    <w:tmpl w:val="CB5C0584"/>
    <w:lvl w:ilvl="0">
      <w:start w:val="1"/>
      <w:numFmt w:val="decimal"/>
      <w:lvlText w:val="%1."/>
      <w:lvlJc w:val="left"/>
      <w:pPr>
        <w:ind w:left="36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2A1565F"/>
    <w:multiLevelType w:val="multilevel"/>
    <w:tmpl w:val="969C884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B6F3797"/>
    <w:multiLevelType w:val="hybridMultilevel"/>
    <w:tmpl w:val="6B60ABE2"/>
    <w:lvl w:ilvl="0" w:tplc="654EF2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44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387D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E231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973551"/>
    <w:multiLevelType w:val="multilevel"/>
    <w:tmpl w:val="CB5C0584"/>
    <w:lvl w:ilvl="0">
      <w:start w:val="1"/>
      <w:numFmt w:val="decimal"/>
      <w:lvlText w:val="%1."/>
      <w:lvlJc w:val="left"/>
      <w:pPr>
        <w:ind w:left="36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34DD4551"/>
    <w:multiLevelType w:val="multilevel"/>
    <w:tmpl w:val="9CEA410A"/>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67265F8"/>
    <w:multiLevelType w:val="multilevel"/>
    <w:tmpl w:val="6A022FD8"/>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85D04E9"/>
    <w:multiLevelType w:val="multilevel"/>
    <w:tmpl w:val="142C26A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nsid w:val="3C432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C73470"/>
    <w:multiLevelType w:val="multilevel"/>
    <w:tmpl w:val="CB5C0584"/>
    <w:lvl w:ilvl="0">
      <w:start w:val="1"/>
      <w:numFmt w:val="decimal"/>
      <w:lvlText w:val="%1."/>
      <w:lvlJc w:val="left"/>
      <w:pPr>
        <w:ind w:left="36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84D7F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C268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980C5C"/>
    <w:multiLevelType w:val="multilevel"/>
    <w:tmpl w:val="BC243DC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4F42A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F67C6A"/>
    <w:multiLevelType w:val="multilevel"/>
    <w:tmpl w:val="DDF46A06"/>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6CB644C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70257B49"/>
    <w:multiLevelType w:val="multilevel"/>
    <w:tmpl w:val="DC9A9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D53972"/>
    <w:multiLevelType w:val="multilevel"/>
    <w:tmpl w:val="CB5C0584"/>
    <w:lvl w:ilvl="0">
      <w:start w:val="1"/>
      <w:numFmt w:val="decimal"/>
      <w:lvlText w:val="%1."/>
      <w:lvlJc w:val="left"/>
      <w:pPr>
        <w:ind w:left="36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9"/>
  </w:num>
  <w:num w:numId="3">
    <w:abstractNumId w:val="11"/>
  </w:num>
  <w:num w:numId="4">
    <w:abstractNumId w:val="0"/>
  </w:num>
  <w:num w:numId="5">
    <w:abstractNumId w:val="2"/>
  </w:num>
  <w:num w:numId="6">
    <w:abstractNumId w:val="18"/>
  </w:num>
  <w:num w:numId="7">
    <w:abstractNumId w:val="5"/>
  </w:num>
  <w:num w:numId="8">
    <w:abstractNumId w:val="12"/>
  </w:num>
  <w:num w:numId="9">
    <w:abstractNumId w:val="17"/>
  </w:num>
  <w:num w:numId="10">
    <w:abstractNumId w:val="15"/>
  </w:num>
  <w:num w:numId="11">
    <w:abstractNumId w:val="13"/>
  </w:num>
  <w:num w:numId="12">
    <w:abstractNumId w:val="8"/>
  </w:num>
  <w:num w:numId="13">
    <w:abstractNumId w:val="7"/>
  </w:num>
  <w:num w:numId="14">
    <w:abstractNumId w:val="3"/>
  </w:num>
  <w:num w:numId="15">
    <w:abstractNumId w:val="16"/>
  </w:num>
  <w:num w:numId="16">
    <w:abstractNumId w:val="10"/>
  </w:num>
  <w:num w:numId="17">
    <w:abstractNumId w:val="1"/>
  </w:num>
  <w:num w:numId="18">
    <w:abstractNumId w:val="4"/>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17"/>
    <w:rsid w:val="00076AE6"/>
    <w:rsid w:val="0009245B"/>
    <w:rsid w:val="000A4EC1"/>
    <w:rsid w:val="000D1D8E"/>
    <w:rsid w:val="001A1DA1"/>
    <w:rsid w:val="001D3311"/>
    <w:rsid w:val="001E3A1F"/>
    <w:rsid w:val="0029302F"/>
    <w:rsid w:val="002F5AA6"/>
    <w:rsid w:val="00334D6B"/>
    <w:rsid w:val="003A5A4B"/>
    <w:rsid w:val="003F3417"/>
    <w:rsid w:val="003F4A56"/>
    <w:rsid w:val="00445D72"/>
    <w:rsid w:val="00445F62"/>
    <w:rsid w:val="00452A03"/>
    <w:rsid w:val="0049378B"/>
    <w:rsid w:val="004956B3"/>
    <w:rsid w:val="004B474A"/>
    <w:rsid w:val="004E2E75"/>
    <w:rsid w:val="004F0F5C"/>
    <w:rsid w:val="004F74A4"/>
    <w:rsid w:val="00523002"/>
    <w:rsid w:val="00592DEA"/>
    <w:rsid w:val="00596AAA"/>
    <w:rsid w:val="005D7A0B"/>
    <w:rsid w:val="005E1895"/>
    <w:rsid w:val="005F47C0"/>
    <w:rsid w:val="00622ADE"/>
    <w:rsid w:val="00642631"/>
    <w:rsid w:val="00684AA9"/>
    <w:rsid w:val="00686BA4"/>
    <w:rsid w:val="006E1581"/>
    <w:rsid w:val="0073179C"/>
    <w:rsid w:val="00740FB6"/>
    <w:rsid w:val="007A795D"/>
    <w:rsid w:val="007B5674"/>
    <w:rsid w:val="007E5159"/>
    <w:rsid w:val="007F207F"/>
    <w:rsid w:val="008040BF"/>
    <w:rsid w:val="00860A4D"/>
    <w:rsid w:val="00874F11"/>
    <w:rsid w:val="00983A71"/>
    <w:rsid w:val="009A34E4"/>
    <w:rsid w:val="009C2789"/>
    <w:rsid w:val="009D19A9"/>
    <w:rsid w:val="00A34DE0"/>
    <w:rsid w:val="00A9400C"/>
    <w:rsid w:val="00A95284"/>
    <w:rsid w:val="00AE7941"/>
    <w:rsid w:val="00AF5604"/>
    <w:rsid w:val="00B94FAD"/>
    <w:rsid w:val="00BA5DFB"/>
    <w:rsid w:val="00C009BC"/>
    <w:rsid w:val="00C03B11"/>
    <w:rsid w:val="00C662EA"/>
    <w:rsid w:val="00CC28C4"/>
    <w:rsid w:val="00CC7873"/>
    <w:rsid w:val="00CD7A75"/>
    <w:rsid w:val="00D05D3D"/>
    <w:rsid w:val="00D13BF2"/>
    <w:rsid w:val="00DA7B46"/>
    <w:rsid w:val="00DD4203"/>
    <w:rsid w:val="00DD56D7"/>
    <w:rsid w:val="00DE06BE"/>
    <w:rsid w:val="00E178AB"/>
    <w:rsid w:val="00E443AF"/>
    <w:rsid w:val="00E72D80"/>
    <w:rsid w:val="00E86140"/>
    <w:rsid w:val="00EE4B62"/>
    <w:rsid w:val="00F07E6E"/>
    <w:rsid w:val="00F100F6"/>
    <w:rsid w:val="00F10928"/>
    <w:rsid w:val="00F27B35"/>
    <w:rsid w:val="00F47647"/>
    <w:rsid w:val="00F83BE6"/>
    <w:rsid w:val="00F90B94"/>
    <w:rsid w:val="00FD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17"/>
    <w:pPr>
      <w:ind w:left="720"/>
      <w:contextualSpacing/>
    </w:pPr>
  </w:style>
  <w:style w:type="paragraph" w:customStyle="1" w:styleId="Default">
    <w:name w:val="Default"/>
    <w:rsid w:val="00F83B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6"/>
    <w:rPr>
      <w:rFonts w:ascii="Tahoma" w:hAnsi="Tahoma" w:cs="Tahoma"/>
      <w:sz w:val="16"/>
      <w:szCs w:val="16"/>
    </w:rPr>
  </w:style>
  <w:style w:type="table" w:styleId="TableGrid">
    <w:name w:val="Table Grid"/>
    <w:basedOn w:val="TableNormal"/>
    <w:rsid w:val="00F8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A4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60A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17"/>
    <w:pPr>
      <w:ind w:left="720"/>
      <w:contextualSpacing/>
    </w:pPr>
  </w:style>
  <w:style w:type="paragraph" w:customStyle="1" w:styleId="Default">
    <w:name w:val="Default"/>
    <w:rsid w:val="00F83B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6"/>
    <w:rPr>
      <w:rFonts w:ascii="Tahoma" w:hAnsi="Tahoma" w:cs="Tahoma"/>
      <w:sz w:val="16"/>
      <w:szCs w:val="16"/>
    </w:rPr>
  </w:style>
  <w:style w:type="table" w:styleId="TableGrid">
    <w:name w:val="Table Grid"/>
    <w:basedOn w:val="TableNormal"/>
    <w:rsid w:val="00F8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A4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60A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FC06-A4DA-48BF-8F17-B3611247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Bailey</dc:creator>
  <cp:lastModifiedBy>Paige Dawson</cp:lastModifiedBy>
  <cp:revision>11</cp:revision>
  <dcterms:created xsi:type="dcterms:W3CDTF">2017-08-18T14:49:00Z</dcterms:created>
  <dcterms:modified xsi:type="dcterms:W3CDTF">2020-12-29T11:51:00Z</dcterms:modified>
</cp:coreProperties>
</file>