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B0" w:rsidRPr="004231B6" w:rsidRDefault="008A50B0" w:rsidP="008F31FC">
      <w:pPr>
        <w:jc w:val="both"/>
        <w:rPr>
          <w:rFonts w:ascii="Arial" w:hAnsi="Arial" w:cs="Arial"/>
        </w:rPr>
      </w:pPr>
    </w:p>
    <w:p w:rsidR="008A50B0" w:rsidRPr="004231B6" w:rsidRDefault="008A50B0" w:rsidP="008F31FC">
      <w:pPr>
        <w:rPr>
          <w:rFonts w:ascii="Arial" w:hAnsi="Arial" w:cs="Arial"/>
        </w:rPr>
      </w:pPr>
    </w:p>
    <w:p w:rsidR="008A50B0" w:rsidRPr="004231B6" w:rsidRDefault="00693AEF" w:rsidP="008F31FC">
      <w:pPr>
        <w:rPr>
          <w:rFonts w:ascii="Arial" w:hAnsi="Arial" w:cs="Arial"/>
        </w:rPr>
      </w:pPr>
      <w:r w:rsidRPr="00693AEF">
        <w:rPr>
          <w:rFonts w:ascii="Arial" w:hAnsi="Arial" w:cs="Arial"/>
          <w:b/>
          <w:noProof/>
          <w:sz w:val="20"/>
          <w:lang w:eastAsia="en-GB"/>
        </w:rPr>
        <w:drawing>
          <wp:anchor distT="0" distB="0" distL="114300" distR="114300" simplePos="0" relativeHeight="251659264" behindDoc="0" locked="0" layoutInCell="1" allowOverlap="1" wp14:anchorId="41D52AB1" wp14:editId="29D3A0CB">
            <wp:simplePos x="0" y="0"/>
            <wp:positionH relativeFrom="column">
              <wp:posOffset>4006850</wp:posOffset>
            </wp:positionH>
            <wp:positionV relativeFrom="paragraph">
              <wp:posOffset>-680720</wp:posOffset>
            </wp:positionV>
            <wp:extent cx="2788285" cy="1616710"/>
            <wp:effectExtent l="0" t="0" r="0" b="2540"/>
            <wp:wrapNone/>
            <wp:docPr id="2" name="Picture 2" descr="Barnsley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ley CCG ÔÇô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l="22653"/>
                    <a:stretch>
                      <a:fillRect/>
                    </a:stretch>
                  </pic:blipFill>
                  <pic:spPr bwMode="auto">
                    <a:xfrm>
                      <a:off x="0" y="0"/>
                      <a:ext cx="2788285"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0B0" w:rsidRPr="004231B6" w:rsidRDefault="008A50B0" w:rsidP="008F31FC">
      <w:pPr>
        <w:rPr>
          <w:rFonts w:ascii="Arial" w:hAnsi="Arial" w:cs="Arial"/>
        </w:rPr>
      </w:pPr>
    </w:p>
    <w:p w:rsidR="008A50B0" w:rsidRPr="004231B6" w:rsidRDefault="008A50B0" w:rsidP="008F31FC">
      <w:pPr>
        <w:rPr>
          <w:rFonts w:ascii="Arial" w:hAnsi="Arial" w:cs="Arial"/>
        </w:rPr>
      </w:pPr>
    </w:p>
    <w:tbl>
      <w:tblPr>
        <w:tblStyle w:val="TableGrid"/>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662"/>
      </w:tblGrid>
      <w:tr w:rsidR="008A50B0" w:rsidRPr="004231B6" w:rsidTr="00921867">
        <w:trPr>
          <w:trHeight w:val="2420"/>
        </w:trPr>
        <w:tc>
          <w:tcPr>
            <w:tcW w:w="6662" w:type="dxa"/>
          </w:tcPr>
          <w:p w:rsidR="002E6106" w:rsidRPr="004231B6" w:rsidRDefault="002E6106" w:rsidP="00921867">
            <w:pPr>
              <w:pStyle w:val="Header"/>
              <w:jc w:val="center"/>
              <w:rPr>
                <w:rFonts w:ascii="Arial" w:hAnsi="Arial" w:cs="Arial"/>
                <w:b/>
                <w:sz w:val="36"/>
                <w:szCs w:val="36"/>
              </w:rPr>
            </w:pPr>
          </w:p>
          <w:p w:rsidR="006A1378" w:rsidRDefault="006A1378" w:rsidP="00921867">
            <w:pPr>
              <w:pStyle w:val="Header"/>
              <w:jc w:val="center"/>
              <w:rPr>
                <w:rFonts w:ascii="Arial" w:hAnsi="Arial" w:cs="Arial"/>
                <w:b/>
                <w:noProof/>
                <w:sz w:val="32"/>
                <w:szCs w:val="32"/>
              </w:rPr>
            </w:pPr>
            <w:r>
              <w:rPr>
                <w:rFonts w:ascii="Arial" w:hAnsi="Arial" w:cs="Arial"/>
                <w:b/>
                <w:noProof/>
                <w:sz w:val="32"/>
                <w:szCs w:val="32"/>
              </w:rPr>
              <w:t>NHS BARNSLEY CCG</w:t>
            </w:r>
          </w:p>
          <w:p w:rsidR="006A1378" w:rsidRDefault="006A1378" w:rsidP="00921867">
            <w:pPr>
              <w:pStyle w:val="Header"/>
              <w:jc w:val="center"/>
              <w:rPr>
                <w:rFonts w:ascii="Arial" w:hAnsi="Arial" w:cs="Arial"/>
                <w:b/>
                <w:noProof/>
                <w:sz w:val="32"/>
                <w:szCs w:val="32"/>
              </w:rPr>
            </w:pPr>
          </w:p>
          <w:p w:rsidR="008A50B0" w:rsidRPr="00FB718F" w:rsidRDefault="000557E5" w:rsidP="00FB718F">
            <w:pPr>
              <w:pStyle w:val="Header"/>
              <w:jc w:val="center"/>
              <w:rPr>
                <w:rFonts w:ascii="Arial" w:hAnsi="Arial" w:cs="Arial"/>
                <w:b/>
                <w:noProof/>
                <w:sz w:val="32"/>
                <w:szCs w:val="32"/>
              </w:rPr>
            </w:pPr>
            <w:r>
              <w:rPr>
                <w:rFonts w:ascii="Arial" w:hAnsi="Arial" w:cs="Arial"/>
                <w:b/>
                <w:noProof/>
                <w:sz w:val="32"/>
                <w:szCs w:val="32"/>
              </w:rPr>
              <w:t>DECOMMISSIONING POLICY</w:t>
            </w:r>
          </w:p>
        </w:tc>
      </w:tr>
    </w:tbl>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p w:rsidR="008A50B0" w:rsidRPr="004231B6" w:rsidRDefault="008A50B0" w:rsidP="008F31FC">
      <w:pPr>
        <w:pStyle w:val="Header"/>
        <w:jc w:val="both"/>
        <w:rPr>
          <w:rFonts w:ascii="Arial" w:hAnsi="Arial" w:cs="Arial"/>
          <w:b/>
          <w:noProof/>
          <w:szCs w:val="24"/>
        </w:rPr>
      </w:pPr>
    </w:p>
    <w:tbl>
      <w:tblPr>
        <w:tblStyle w:val="TableGrid"/>
        <w:tblpPr w:leftFromText="180" w:rightFromText="180" w:vertAnchor="text" w:horzAnchor="margin" w:tblpY="5061"/>
        <w:tblW w:w="0" w:type="auto"/>
        <w:tblLook w:val="04A0" w:firstRow="1" w:lastRow="0" w:firstColumn="1" w:lastColumn="0" w:noHBand="0" w:noVBand="1"/>
      </w:tblPr>
      <w:tblGrid>
        <w:gridCol w:w="5353"/>
        <w:gridCol w:w="3889"/>
      </w:tblGrid>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Version:</w:t>
            </w:r>
          </w:p>
        </w:tc>
        <w:tc>
          <w:tcPr>
            <w:tcW w:w="3889" w:type="dxa"/>
            <w:shd w:val="clear" w:color="auto" w:fill="EEECE1" w:themeFill="background2"/>
          </w:tcPr>
          <w:p w:rsidR="00921867" w:rsidRPr="004231B6" w:rsidRDefault="00164DD8" w:rsidP="00B50A8D">
            <w:pPr>
              <w:jc w:val="both"/>
              <w:rPr>
                <w:rFonts w:ascii="Arial" w:hAnsi="Arial" w:cs="Arial"/>
              </w:rPr>
            </w:pPr>
            <w:r>
              <w:rPr>
                <w:rFonts w:ascii="Arial" w:hAnsi="Arial" w:cs="Arial"/>
              </w:rPr>
              <w:t>2</w:t>
            </w:r>
            <w:r w:rsidR="00F06C31">
              <w:rPr>
                <w:rFonts w:ascii="Arial" w:hAnsi="Arial" w:cs="Arial"/>
              </w:rPr>
              <w:t>.0</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Approved By:</w:t>
            </w:r>
          </w:p>
        </w:tc>
        <w:tc>
          <w:tcPr>
            <w:tcW w:w="3889" w:type="dxa"/>
            <w:shd w:val="clear" w:color="auto" w:fill="EEECE1" w:themeFill="background2"/>
          </w:tcPr>
          <w:p w:rsidR="00921867" w:rsidRPr="004231B6" w:rsidRDefault="00693AEF" w:rsidP="00693AEF">
            <w:pPr>
              <w:rPr>
                <w:rFonts w:ascii="Arial" w:hAnsi="Arial" w:cs="Arial"/>
              </w:rPr>
            </w:pPr>
            <w:r>
              <w:rPr>
                <w:rFonts w:ascii="Arial" w:hAnsi="Arial" w:cs="Arial"/>
              </w:rPr>
              <w:t>Finance and Performance Committee</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Date Approved:</w:t>
            </w:r>
          </w:p>
        </w:tc>
        <w:tc>
          <w:tcPr>
            <w:tcW w:w="3889" w:type="dxa"/>
            <w:shd w:val="clear" w:color="auto" w:fill="EEECE1" w:themeFill="background2"/>
          </w:tcPr>
          <w:p w:rsidR="00921867" w:rsidRPr="004231B6" w:rsidRDefault="00693AEF" w:rsidP="00B50A8D">
            <w:pPr>
              <w:jc w:val="both"/>
              <w:rPr>
                <w:rFonts w:ascii="Arial" w:hAnsi="Arial" w:cs="Arial"/>
              </w:rPr>
            </w:pPr>
            <w:r>
              <w:rPr>
                <w:rFonts w:ascii="Arial" w:hAnsi="Arial" w:cs="Arial"/>
              </w:rPr>
              <w:t>5 November 2020</w:t>
            </w:r>
          </w:p>
        </w:tc>
      </w:tr>
      <w:tr w:rsidR="00921867" w:rsidRPr="004231B6" w:rsidTr="00AF6116">
        <w:tc>
          <w:tcPr>
            <w:tcW w:w="5353" w:type="dxa"/>
            <w:shd w:val="clear" w:color="auto" w:fill="EEECE1" w:themeFill="background2"/>
          </w:tcPr>
          <w:p w:rsidR="00921867" w:rsidRPr="004231B6" w:rsidRDefault="000557E5" w:rsidP="00B50A8D">
            <w:pPr>
              <w:spacing w:after="120"/>
              <w:jc w:val="both"/>
              <w:rPr>
                <w:rFonts w:ascii="Arial" w:hAnsi="Arial" w:cs="Arial"/>
                <w:b/>
                <w:sz w:val="22"/>
                <w:szCs w:val="22"/>
              </w:rPr>
            </w:pPr>
            <w:r>
              <w:rPr>
                <w:rFonts w:ascii="Arial" w:hAnsi="Arial" w:cs="Arial"/>
                <w:b/>
                <w:sz w:val="22"/>
                <w:szCs w:val="22"/>
              </w:rPr>
              <w:t xml:space="preserve">Name of </w:t>
            </w:r>
            <w:r w:rsidR="00921867" w:rsidRPr="004231B6">
              <w:rPr>
                <w:rFonts w:ascii="Arial" w:hAnsi="Arial" w:cs="Arial"/>
                <w:b/>
                <w:sz w:val="22"/>
                <w:szCs w:val="22"/>
              </w:rPr>
              <w:t>author:</w:t>
            </w:r>
          </w:p>
        </w:tc>
        <w:tc>
          <w:tcPr>
            <w:tcW w:w="3889" w:type="dxa"/>
            <w:shd w:val="clear" w:color="auto" w:fill="EEECE1" w:themeFill="background2"/>
          </w:tcPr>
          <w:p w:rsidR="00921867" w:rsidRPr="004231B6" w:rsidRDefault="009E4945" w:rsidP="00C8660A">
            <w:pPr>
              <w:rPr>
                <w:rFonts w:ascii="Arial" w:hAnsi="Arial" w:cs="Arial"/>
              </w:rPr>
            </w:pPr>
            <w:r>
              <w:rPr>
                <w:rFonts w:ascii="Arial" w:hAnsi="Arial" w:cs="Arial"/>
              </w:rPr>
              <w:t>Jamie Wike</w:t>
            </w:r>
            <w:r w:rsidR="006B327F">
              <w:rPr>
                <w:rFonts w:ascii="Arial" w:hAnsi="Arial" w:cs="Arial"/>
              </w:rPr>
              <w:t xml:space="preserve">, </w:t>
            </w:r>
            <w:r w:rsidR="00164DD8" w:rsidRPr="004231B6">
              <w:rPr>
                <w:rFonts w:ascii="Arial" w:hAnsi="Arial" w:cs="Arial"/>
              </w:rPr>
              <w:t>Richard Walker</w:t>
            </w:r>
            <w:r w:rsidR="00164DD8">
              <w:rPr>
                <w:rFonts w:ascii="Arial" w:hAnsi="Arial" w:cs="Arial"/>
              </w:rPr>
              <w:t xml:space="preserve">, </w:t>
            </w:r>
            <w:r w:rsidR="006B327F">
              <w:rPr>
                <w:rFonts w:ascii="Arial" w:hAnsi="Arial" w:cs="Arial"/>
              </w:rPr>
              <w:t xml:space="preserve">Kirsty </w:t>
            </w:r>
            <w:proofErr w:type="spellStart"/>
            <w:r w:rsidR="006B327F">
              <w:rPr>
                <w:rFonts w:ascii="Arial" w:hAnsi="Arial" w:cs="Arial"/>
              </w:rPr>
              <w:t>Waknell</w:t>
            </w:r>
            <w:proofErr w:type="spellEnd"/>
            <w:r w:rsidR="00164DD8">
              <w:rPr>
                <w:rFonts w:ascii="Arial" w:hAnsi="Arial" w:cs="Arial"/>
              </w:rPr>
              <w:t>, Amanda Capper</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Name of responsible committee/ individual:</w:t>
            </w:r>
          </w:p>
        </w:tc>
        <w:tc>
          <w:tcPr>
            <w:tcW w:w="3889" w:type="dxa"/>
            <w:shd w:val="clear" w:color="auto" w:fill="EEECE1" w:themeFill="background2"/>
          </w:tcPr>
          <w:p w:rsidR="00921867" w:rsidRPr="006268DD" w:rsidRDefault="00C17AF5" w:rsidP="00B50A8D">
            <w:pPr>
              <w:jc w:val="both"/>
              <w:rPr>
                <w:rFonts w:ascii="Arial" w:hAnsi="Arial" w:cs="Arial"/>
              </w:rPr>
            </w:pPr>
            <w:r w:rsidRPr="006268DD">
              <w:rPr>
                <w:rFonts w:ascii="Arial" w:hAnsi="Arial" w:cs="Arial"/>
              </w:rPr>
              <w:t>Governing Body (Approval)</w:t>
            </w:r>
          </w:p>
          <w:p w:rsidR="00C17AF5" w:rsidRPr="004231B6" w:rsidRDefault="000557E5" w:rsidP="00AD2A01">
            <w:pPr>
              <w:rPr>
                <w:rFonts w:ascii="Arial" w:hAnsi="Arial" w:cs="Arial"/>
              </w:rPr>
            </w:pPr>
            <w:r>
              <w:rPr>
                <w:rFonts w:ascii="Arial" w:hAnsi="Arial" w:cs="Arial"/>
              </w:rPr>
              <w:t xml:space="preserve">Finance &amp; </w:t>
            </w:r>
            <w:r w:rsidR="00AD2A01">
              <w:rPr>
                <w:rFonts w:ascii="Arial" w:hAnsi="Arial" w:cs="Arial"/>
              </w:rPr>
              <w:t xml:space="preserve">Performance </w:t>
            </w:r>
            <w:r w:rsidR="00C17AF5" w:rsidRPr="006268DD">
              <w:rPr>
                <w:rFonts w:ascii="Arial" w:hAnsi="Arial" w:cs="Arial"/>
              </w:rPr>
              <w:t>Committee (review)</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Name of executive lead:</w:t>
            </w:r>
          </w:p>
        </w:tc>
        <w:tc>
          <w:tcPr>
            <w:tcW w:w="3889" w:type="dxa"/>
            <w:shd w:val="clear" w:color="auto" w:fill="EEECE1" w:themeFill="background2"/>
          </w:tcPr>
          <w:p w:rsidR="00921867" w:rsidRPr="004231B6" w:rsidRDefault="00FD62C1" w:rsidP="00B50A8D">
            <w:pPr>
              <w:jc w:val="both"/>
              <w:rPr>
                <w:rFonts w:ascii="Arial" w:hAnsi="Arial" w:cs="Arial"/>
              </w:rPr>
            </w:pPr>
            <w:r>
              <w:rPr>
                <w:rFonts w:ascii="Arial" w:hAnsi="Arial" w:cs="Arial"/>
              </w:rPr>
              <w:t>Jamie Wike</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Date issued:</w:t>
            </w:r>
          </w:p>
        </w:tc>
        <w:tc>
          <w:tcPr>
            <w:tcW w:w="3889" w:type="dxa"/>
            <w:shd w:val="clear" w:color="auto" w:fill="EEECE1" w:themeFill="background2"/>
          </w:tcPr>
          <w:p w:rsidR="00921867" w:rsidRPr="004231B6" w:rsidRDefault="00693AEF" w:rsidP="00164DD8">
            <w:pPr>
              <w:jc w:val="both"/>
              <w:rPr>
                <w:rFonts w:ascii="Arial" w:hAnsi="Arial" w:cs="Arial"/>
              </w:rPr>
            </w:pPr>
            <w:r>
              <w:rPr>
                <w:rFonts w:ascii="Arial" w:hAnsi="Arial" w:cs="Arial"/>
              </w:rPr>
              <w:t>November</w:t>
            </w:r>
            <w:r w:rsidR="00FD62C1">
              <w:rPr>
                <w:rFonts w:ascii="Arial" w:hAnsi="Arial" w:cs="Arial"/>
              </w:rPr>
              <w:t xml:space="preserve"> 20</w:t>
            </w:r>
            <w:r w:rsidR="00164DD8">
              <w:rPr>
                <w:rFonts w:ascii="Arial" w:hAnsi="Arial" w:cs="Arial"/>
              </w:rPr>
              <w:t>20</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Review Date:</w:t>
            </w:r>
          </w:p>
        </w:tc>
        <w:tc>
          <w:tcPr>
            <w:tcW w:w="3889" w:type="dxa"/>
            <w:shd w:val="clear" w:color="auto" w:fill="EEECE1" w:themeFill="background2"/>
          </w:tcPr>
          <w:p w:rsidR="00921867" w:rsidRPr="004231B6" w:rsidRDefault="00164DD8" w:rsidP="00B50A8D">
            <w:pPr>
              <w:jc w:val="both"/>
              <w:rPr>
                <w:rFonts w:ascii="Arial" w:hAnsi="Arial" w:cs="Arial"/>
              </w:rPr>
            </w:pPr>
            <w:r>
              <w:rPr>
                <w:rFonts w:ascii="Arial" w:hAnsi="Arial" w:cs="Arial"/>
              </w:rPr>
              <w:t>3</w:t>
            </w:r>
            <w:r w:rsidR="001A3A88" w:rsidRPr="004231B6">
              <w:rPr>
                <w:rFonts w:ascii="Arial" w:hAnsi="Arial" w:cs="Arial"/>
              </w:rPr>
              <w:t xml:space="preserve"> years from approval </w:t>
            </w:r>
          </w:p>
        </w:tc>
      </w:tr>
      <w:tr w:rsidR="00921867" w:rsidRPr="004231B6" w:rsidTr="00AF6116">
        <w:tc>
          <w:tcPr>
            <w:tcW w:w="5353" w:type="dxa"/>
            <w:shd w:val="clear" w:color="auto" w:fill="EEECE1" w:themeFill="background2"/>
          </w:tcPr>
          <w:p w:rsidR="00921867" w:rsidRPr="004231B6" w:rsidRDefault="00921867" w:rsidP="00B50A8D">
            <w:pPr>
              <w:spacing w:after="120"/>
              <w:jc w:val="both"/>
              <w:rPr>
                <w:rFonts w:ascii="Arial" w:hAnsi="Arial" w:cs="Arial"/>
                <w:b/>
                <w:sz w:val="22"/>
                <w:szCs w:val="22"/>
              </w:rPr>
            </w:pPr>
            <w:r w:rsidRPr="004231B6">
              <w:rPr>
                <w:rFonts w:ascii="Arial" w:hAnsi="Arial" w:cs="Arial"/>
                <w:b/>
                <w:sz w:val="22"/>
                <w:szCs w:val="22"/>
              </w:rPr>
              <w:t>Target Audience:</w:t>
            </w:r>
          </w:p>
        </w:tc>
        <w:tc>
          <w:tcPr>
            <w:tcW w:w="3889" w:type="dxa"/>
            <w:shd w:val="clear" w:color="auto" w:fill="EEECE1" w:themeFill="background2"/>
          </w:tcPr>
          <w:p w:rsidR="00921867" w:rsidRPr="004231B6" w:rsidRDefault="001A3A88" w:rsidP="00B50A8D">
            <w:pPr>
              <w:jc w:val="both"/>
              <w:rPr>
                <w:rFonts w:ascii="Arial" w:hAnsi="Arial" w:cs="Arial"/>
              </w:rPr>
            </w:pPr>
            <w:r w:rsidRPr="004231B6">
              <w:rPr>
                <w:rFonts w:ascii="Arial" w:hAnsi="Arial" w:cs="Arial"/>
              </w:rPr>
              <w:t>Barnsley CCG staff</w:t>
            </w:r>
          </w:p>
        </w:tc>
      </w:tr>
    </w:tbl>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B50A8D" w:rsidRPr="004231B6" w:rsidRDefault="00B50A8D" w:rsidP="008F31FC">
      <w:pPr>
        <w:ind w:hanging="567"/>
        <w:jc w:val="both"/>
        <w:rPr>
          <w:rFonts w:ascii="Arial" w:hAnsi="Arial" w:cs="Arial"/>
          <w:b/>
        </w:rPr>
      </w:pPr>
    </w:p>
    <w:p w:rsidR="00B50A8D" w:rsidRPr="004231B6" w:rsidRDefault="00B50A8D"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921867" w:rsidRPr="004231B6" w:rsidRDefault="00921867" w:rsidP="008F31FC">
      <w:pPr>
        <w:ind w:hanging="567"/>
        <w:jc w:val="both"/>
        <w:rPr>
          <w:rFonts w:ascii="Arial" w:hAnsi="Arial" w:cs="Arial"/>
          <w:b/>
        </w:rPr>
      </w:pPr>
    </w:p>
    <w:p w:rsidR="008A50B0" w:rsidRPr="004231B6" w:rsidRDefault="008A50B0" w:rsidP="008F31FC">
      <w:pPr>
        <w:ind w:hanging="567"/>
        <w:jc w:val="both"/>
        <w:rPr>
          <w:rFonts w:ascii="Arial" w:hAnsi="Arial" w:cs="Arial"/>
          <w:b/>
          <w:sz w:val="32"/>
          <w:szCs w:val="32"/>
        </w:rPr>
      </w:pPr>
      <w:r w:rsidRPr="004231B6">
        <w:rPr>
          <w:rFonts w:ascii="Arial" w:hAnsi="Arial" w:cs="Arial"/>
          <w:b/>
        </w:rPr>
        <w:br w:type="page"/>
      </w:r>
    </w:p>
    <w:p w:rsidR="00AF6116" w:rsidRPr="004231B6" w:rsidRDefault="00AF6116" w:rsidP="00AF6116">
      <w:pPr>
        <w:pStyle w:val="Header"/>
        <w:jc w:val="center"/>
        <w:rPr>
          <w:rFonts w:ascii="Arial" w:hAnsi="Arial" w:cs="Arial"/>
          <w:b/>
          <w:noProof/>
          <w:sz w:val="32"/>
          <w:szCs w:val="32"/>
        </w:rPr>
      </w:pPr>
    </w:p>
    <w:p w:rsidR="008A50B0" w:rsidRPr="004231B6" w:rsidRDefault="00921867" w:rsidP="008F31FC">
      <w:pPr>
        <w:ind w:hanging="567"/>
        <w:jc w:val="both"/>
        <w:rPr>
          <w:rFonts w:ascii="Arial" w:hAnsi="Arial" w:cs="Arial"/>
          <w:b/>
          <w:szCs w:val="24"/>
        </w:rPr>
      </w:pPr>
      <w:r w:rsidRPr="004231B6">
        <w:rPr>
          <w:rFonts w:ascii="Arial" w:hAnsi="Arial" w:cs="Arial"/>
          <w:b/>
          <w:szCs w:val="24"/>
        </w:rPr>
        <w:t>Amendment Log</w:t>
      </w:r>
    </w:p>
    <w:p w:rsidR="008A50B0" w:rsidRPr="004231B6" w:rsidRDefault="008A50B0" w:rsidP="008F31FC">
      <w:pPr>
        <w:ind w:hanging="567"/>
        <w:jc w:val="both"/>
        <w:rPr>
          <w:rFonts w:ascii="Arial" w:hAnsi="Arial" w:cs="Arial"/>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390"/>
        <w:gridCol w:w="4454"/>
      </w:tblGrid>
      <w:tr w:rsidR="00921867" w:rsidRPr="004231B6" w:rsidTr="004231B6">
        <w:tc>
          <w:tcPr>
            <w:tcW w:w="1548" w:type="dxa"/>
          </w:tcPr>
          <w:p w:rsidR="00921867" w:rsidRPr="004231B6" w:rsidRDefault="00921867" w:rsidP="004231B6">
            <w:pPr>
              <w:spacing w:before="80" w:after="80"/>
              <w:rPr>
                <w:rFonts w:ascii="Arial" w:hAnsi="Arial" w:cs="Arial"/>
                <w:b/>
                <w:bCs/>
                <w:szCs w:val="24"/>
              </w:rPr>
            </w:pPr>
            <w:r w:rsidRPr="004231B6">
              <w:rPr>
                <w:rFonts w:ascii="Arial" w:hAnsi="Arial" w:cs="Arial"/>
                <w:b/>
                <w:bCs/>
                <w:szCs w:val="24"/>
              </w:rPr>
              <w:t>Version No</w:t>
            </w:r>
          </w:p>
        </w:tc>
        <w:tc>
          <w:tcPr>
            <w:tcW w:w="1980" w:type="dxa"/>
          </w:tcPr>
          <w:p w:rsidR="00921867" w:rsidRPr="004231B6" w:rsidRDefault="00921867" w:rsidP="004231B6">
            <w:pPr>
              <w:spacing w:before="80" w:after="80"/>
              <w:rPr>
                <w:rFonts w:ascii="Arial" w:hAnsi="Arial" w:cs="Arial"/>
                <w:b/>
                <w:bCs/>
                <w:szCs w:val="24"/>
              </w:rPr>
            </w:pPr>
            <w:r w:rsidRPr="004231B6">
              <w:rPr>
                <w:rFonts w:ascii="Arial" w:hAnsi="Arial" w:cs="Arial"/>
                <w:b/>
                <w:bCs/>
                <w:szCs w:val="24"/>
              </w:rPr>
              <w:t>Type of Change</w:t>
            </w:r>
          </w:p>
        </w:tc>
        <w:tc>
          <w:tcPr>
            <w:tcW w:w="1260" w:type="dxa"/>
          </w:tcPr>
          <w:p w:rsidR="00921867" w:rsidRPr="004231B6" w:rsidRDefault="00921867" w:rsidP="004231B6">
            <w:pPr>
              <w:spacing w:before="80" w:after="80"/>
              <w:rPr>
                <w:rFonts w:ascii="Arial" w:hAnsi="Arial" w:cs="Arial"/>
                <w:b/>
                <w:bCs/>
                <w:szCs w:val="24"/>
              </w:rPr>
            </w:pPr>
            <w:r w:rsidRPr="004231B6">
              <w:rPr>
                <w:rFonts w:ascii="Arial" w:hAnsi="Arial" w:cs="Arial"/>
                <w:b/>
                <w:bCs/>
                <w:szCs w:val="24"/>
              </w:rPr>
              <w:t xml:space="preserve">Date </w:t>
            </w:r>
          </w:p>
        </w:tc>
        <w:tc>
          <w:tcPr>
            <w:tcW w:w="4454" w:type="dxa"/>
          </w:tcPr>
          <w:p w:rsidR="00921867" w:rsidRPr="004231B6" w:rsidRDefault="00921867" w:rsidP="004231B6">
            <w:pPr>
              <w:spacing w:before="80" w:after="80"/>
              <w:rPr>
                <w:rFonts w:ascii="Arial" w:hAnsi="Arial" w:cs="Arial"/>
                <w:b/>
                <w:bCs/>
                <w:szCs w:val="24"/>
              </w:rPr>
            </w:pPr>
            <w:r w:rsidRPr="004231B6">
              <w:rPr>
                <w:rFonts w:ascii="Arial" w:hAnsi="Arial" w:cs="Arial"/>
                <w:b/>
                <w:bCs/>
                <w:szCs w:val="24"/>
              </w:rPr>
              <w:t>Description of change</w:t>
            </w:r>
          </w:p>
        </w:tc>
      </w:tr>
      <w:tr w:rsidR="00921867" w:rsidRPr="004231B6" w:rsidTr="004231B6">
        <w:tc>
          <w:tcPr>
            <w:tcW w:w="1548" w:type="dxa"/>
          </w:tcPr>
          <w:p w:rsidR="00921867" w:rsidRPr="004231B6" w:rsidRDefault="00921867" w:rsidP="004231B6">
            <w:pPr>
              <w:spacing w:before="80" w:after="80"/>
              <w:rPr>
                <w:rFonts w:ascii="Arial" w:hAnsi="Arial" w:cs="Arial"/>
                <w:szCs w:val="24"/>
              </w:rPr>
            </w:pPr>
            <w:r w:rsidRPr="004231B6">
              <w:rPr>
                <w:rFonts w:ascii="Arial" w:hAnsi="Arial" w:cs="Arial"/>
                <w:szCs w:val="24"/>
              </w:rPr>
              <w:t>V.</w:t>
            </w:r>
            <w:r w:rsidR="000557E5">
              <w:rPr>
                <w:rFonts w:ascii="Arial" w:hAnsi="Arial" w:cs="Arial"/>
                <w:szCs w:val="24"/>
              </w:rPr>
              <w:t>0.1</w:t>
            </w:r>
          </w:p>
        </w:tc>
        <w:tc>
          <w:tcPr>
            <w:tcW w:w="1980" w:type="dxa"/>
          </w:tcPr>
          <w:p w:rsidR="00921867" w:rsidRPr="004231B6" w:rsidRDefault="000557E5" w:rsidP="004231B6">
            <w:pPr>
              <w:spacing w:before="80" w:after="80"/>
              <w:rPr>
                <w:rFonts w:ascii="Arial" w:hAnsi="Arial" w:cs="Arial"/>
                <w:szCs w:val="24"/>
              </w:rPr>
            </w:pPr>
            <w:r>
              <w:rPr>
                <w:rFonts w:ascii="Arial" w:hAnsi="Arial" w:cs="Arial"/>
                <w:szCs w:val="24"/>
              </w:rPr>
              <w:t>Draft</w:t>
            </w:r>
          </w:p>
        </w:tc>
        <w:tc>
          <w:tcPr>
            <w:tcW w:w="1260" w:type="dxa"/>
          </w:tcPr>
          <w:p w:rsidR="00921867" w:rsidRPr="004231B6" w:rsidRDefault="000557E5" w:rsidP="004231B6">
            <w:pPr>
              <w:spacing w:before="80" w:after="80"/>
              <w:rPr>
                <w:rFonts w:ascii="Arial" w:hAnsi="Arial" w:cs="Arial"/>
                <w:szCs w:val="24"/>
              </w:rPr>
            </w:pPr>
            <w:r>
              <w:rPr>
                <w:rFonts w:ascii="Arial" w:hAnsi="Arial" w:cs="Arial"/>
                <w:szCs w:val="24"/>
              </w:rPr>
              <w:t>April 2017</w:t>
            </w:r>
          </w:p>
        </w:tc>
        <w:tc>
          <w:tcPr>
            <w:tcW w:w="4454" w:type="dxa"/>
          </w:tcPr>
          <w:p w:rsidR="00921867" w:rsidRPr="004231B6" w:rsidRDefault="000557E5" w:rsidP="001A3A88">
            <w:pPr>
              <w:spacing w:before="80" w:after="80"/>
              <w:rPr>
                <w:rFonts w:ascii="Arial" w:hAnsi="Arial" w:cs="Arial"/>
                <w:i/>
                <w:iCs/>
                <w:szCs w:val="24"/>
              </w:rPr>
            </w:pPr>
            <w:r>
              <w:rPr>
                <w:rFonts w:ascii="Arial" w:hAnsi="Arial" w:cs="Arial"/>
                <w:i/>
                <w:iCs/>
                <w:szCs w:val="24"/>
              </w:rPr>
              <w:t>Developed draft decommissioning policy based on good practice from elsewhere</w:t>
            </w:r>
          </w:p>
        </w:tc>
      </w:tr>
      <w:tr w:rsidR="00841786" w:rsidRPr="004231B6" w:rsidTr="004231B6">
        <w:tc>
          <w:tcPr>
            <w:tcW w:w="1548" w:type="dxa"/>
          </w:tcPr>
          <w:p w:rsidR="00841786" w:rsidRPr="004231B6" w:rsidRDefault="00980A8A" w:rsidP="004231B6">
            <w:pPr>
              <w:spacing w:before="80" w:after="80"/>
              <w:rPr>
                <w:rFonts w:ascii="Arial" w:hAnsi="Arial" w:cs="Arial"/>
                <w:szCs w:val="24"/>
              </w:rPr>
            </w:pPr>
            <w:r>
              <w:rPr>
                <w:rFonts w:ascii="Arial" w:hAnsi="Arial" w:cs="Arial"/>
                <w:szCs w:val="24"/>
              </w:rPr>
              <w:t>V.</w:t>
            </w:r>
            <w:r w:rsidR="00841786">
              <w:rPr>
                <w:rFonts w:ascii="Arial" w:hAnsi="Arial" w:cs="Arial"/>
                <w:szCs w:val="24"/>
              </w:rPr>
              <w:t>0.2</w:t>
            </w:r>
          </w:p>
        </w:tc>
        <w:tc>
          <w:tcPr>
            <w:tcW w:w="1980" w:type="dxa"/>
          </w:tcPr>
          <w:p w:rsidR="00841786" w:rsidRDefault="00841786" w:rsidP="004231B6">
            <w:pPr>
              <w:spacing w:before="80" w:after="80"/>
              <w:rPr>
                <w:rFonts w:ascii="Arial" w:hAnsi="Arial" w:cs="Arial"/>
                <w:szCs w:val="24"/>
              </w:rPr>
            </w:pPr>
            <w:r>
              <w:rPr>
                <w:rFonts w:ascii="Arial" w:hAnsi="Arial" w:cs="Arial"/>
                <w:szCs w:val="24"/>
              </w:rPr>
              <w:t>Draft</w:t>
            </w:r>
          </w:p>
        </w:tc>
        <w:tc>
          <w:tcPr>
            <w:tcW w:w="1260" w:type="dxa"/>
          </w:tcPr>
          <w:p w:rsidR="00841786" w:rsidRDefault="00841786" w:rsidP="004231B6">
            <w:pPr>
              <w:spacing w:before="80" w:after="80"/>
              <w:rPr>
                <w:rFonts w:ascii="Arial" w:hAnsi="Arial" w:cs="Arial"/>
                <w:szCs w:val="24"/>
              </w:rPr>
            </w:pPr>
            <w:r>
              <w:rPr>
                <w:rFonts w:ascii="Arial" w:hAnsi="Arial" w:cs="Arial"/>
                <w:szCs w:val="24"/>
              </w:rPr>
              <w:t>June 2017</w:t>
            </w:r>
          </w:p>
        </w:tc>
        <w:tc>
          <w:tcPr>
            <w:tcW w:w="4454" w:type="dxa"/>
          </w:tcPr>
          <w:p w:rsidR="00841786" w:rsidRDefault="00841786" w:rsidP="001A3A88">
            <w:pPr>
              <w:spacing w:before="80" w:after="80"/>
              <w:rPr>
                <w:rFonts w:ascii="Arial" w:hAnsi="Arial" w:cs="Arial"/>
                <w:i/>
                <w:iCs/>
                <w:szCs w:val="24"/>
              </w:rPr>
            </w:pPr>
            <w:r>
              <w:rPr>
                <w:rFonts w:ascii="Arial" w:hAnsi="Arial" w:cs="Arial"/>
                <w:i/>
                <w:iCs/>
                <w:szCs w:val="24"/>
              </w:rPr>
              <w:t>Amended to take account of feedback from QIPP Delivery Group</w:t>
            </w:r>
          </w:p>
        </w:tc>
      </w:tr>
      <w:tr w:rsidR="00980A8A" w:rsidRPr="004231B6" w:rsidTr="004231B6">
        <w:tc>
          <w:tcPr>
            <w:tcW w:w="1548" w:type="dxa"/>
          </w:tcPr>
          <w:p w:rsidR="00980A8A" w:rsidRDefault="00980A8A" w:rsidP="004231B6">
            <w:pPr>
              <w:spacing w:before="80" w:after="80"/>
              <w:rPr>
                <w:rFonts w:ascii="Arial" w:hAnsi="Arial" w:cs="Arial"/>
                <w:szCs w:val="24"/>
              </w:rPr>
            </w:pPr>
            <w:r>
              <w:rPr>
                <w:rFonts w:ascii="Arial" w:hAnsi="Arial" w:cs="Arial"/>
                <w:szCs w:val="24"/>
              </w:rPr>
              <w:t>V.0.3</w:t>
            </w:r>
          </w:p>
        </w:tc>
        <w:tc>
          <w:tcPr>
            <w:tcW w:w="1980" w:type="dxa"/>
          </w:tcPr>
          <w:p w:rsidR="00980A8A" w:rsidRDefault="00980A8A" w:rsidP="004231B6">
            <w:pPr>
              <w:spacing w:before="80" w:after="80"/>
              <w:rPr>
                <w:rFonts w:ascii="Arial" w:hAnsi="Arial" w:cs="Arial"/>
                <w:szCs w:val="24"/>
              </w:rPr>
            </w:pPr>
            <w:r>
              <w:rPr>
                <w:rFonts w:ascii="Arial" w:hAnsi="Arial" w:cs="Arial"/>
                <w:szCs w:val="24"/>
              </w:rPr>
              <w:t>Final Draft for Approval</w:t>
            </w:r>
          </w:p>
        </w:tc>
        <w:tc>
          <w:tcPr>
            <w:tcW w:w="1260" w:type="dxa"/>
          </w:tcPr>
          <w:p w:rsidR="00980A8A" w:rsidRDefault="00980A8A" w:rsidP="004231B6">
            <w:pPr>
              <w:spacing w:before="80" w:after="80"/>
              <w:rPr>
                <w:rFonts w:ascii="Arial" w:hAnsi="Arial" w:cs="Arial"/>
                <w:szCs w:val="24"/>
              </w:rPr>
            </w:pPr>
            <w:r>
              <w:rPr>
                <w:rFonts w:ascii="Arial" w:hAnsi="Arial" w:cs="Arial"/>
                <w:szCs w:val="24"/>
              </w:rPr>
              <w:t>August 2017</w:t>
            </w:r>
          </w:p>
        </w:tc>
        <w:tc>
          <w:tcPr>
            <w:tcW w:w="4454" w:type="dxa"/>
          </w:tcPr>
          <w:p w:rsidR="00980A8A" w:rsidRDefault="00980A8A" w:rsidP="001A3A88">
            <w:pPr>
              <w:spacing w:before="80" w:after="80"/>
              <w:rPr>
                <w:rFonts w:ascii="Arial" w:hAnsi="Arial" w:cs="Arial"/>
                <w:i/>
                <w:iCs/>
                <w:szCs w:val="24"/>
              </w:rPr>
            </w:pPr>
            <w:r>
              <w:rPr>
                <w:rFonts w:ascii="Arial" w:hAnsi="Arial" w:cs="Arial"/>
                <w:i/>
                <w:iCs/>
                <w:szCs w:val="24"/>
              </w:rPr>
              <w:t>Amended to take account of feedback from Governing Body</w:t>
            </w:r>
            <w:r w:rsidR="006A5690">
              <w:rPr>
                <w:rFonts w:ascii="Arial" w:hAnsi="Arial" w:cs="Arial"/>
                <w:i/>
                <w:iCs/>
                <w:szCs w:val="24"/>
              </w:rPr>
              <w:t>.  Improved clarity of section 8.8.3 that a decision to decommission may be made if there is evidence of one or more of the criteria included.</w:t>
            </w:r>
            <w:r w:rsidR="008D60D8">
              <w:rPr>
                <w:rFonts w:ascii="Arial" w:hAnsi="Arial" w:cs="Arial"/>
                <w:i/>
                <w:iCs/>
                <w:szCs w:val="24"/>
              </w:rPr>
              <w:t xml:space="preserve">  Added Appendix 1 to summarise decision making framework.</w:t>
            </w:r>
          </w:p>
        </w:tc>
      </w:tr>
      <w:tr w:rsidR="00F06C31" w:rsidRPr="004231B6" w:rsidTr="004231B6">
        <w:tc>
          <w:tcPr>
            <w:tcW w:w="1548" w:type="dxa"/>
          </w:tcPr>
          <w:p w:rsidR="00F06C31" w:rsidRDefault="00F06C31" w:rsidP="004231B6">
            <w:pPr>
              <w:spacing w:before="80" w:after="80"/>
              <w:rPr>
                <w:rFonts w:ascii="Arial" w:hAnsi="Arial" w:cs="Arial"/>
                <w:szCs w:val="24"/>
              </w:rPr>
            </w:pPr>
            <w:r>
              <w:rPr>
                <w:rFonts w:ascii="Arial" w:hAnsi="Arial" w:cs="Arial"/>
                <w:szCs w:val="24"/>
              </w:rPr>
              <w:t>V1.0</w:t>
            </w:r>
          </w:p>
        </w:tc>
        <w:tc>
          <w:tcPr>
            <w:tcW w:w="1980" w:type="dxa"/>
          </w:tcPr>
          <w:p w:rsidR="00F06C31" w:rsidRDefault="00F06C31" w:rsidP="004231B6">
            <w:pPr>
              <w:spacing w:before="80" w:after="80"/>
              <w:rPr>
                <w:rFonts w:ascii="Arial" w:hAnsi="Arial" w:cs="Arial"/>
                <w:szCs w:val="24"/>
              </w:rPr>
            </w:pPr>
            <w:r>
              <w:rPr>
                <w:rFonts w:ascii="Arial" w:hAnsi="Arial" w:cs="Arial"/>
                <w:szCs w:val="24"/>
              </w:rPr>
              <w:t>Approved Policy</w:t>
            </w:r>
          </w:p>
        </w:tc>
        <w:tc>
          <w:tcPr>
            <w:tcW w:w="1260" w:type="dxa"/>
          </w:tcPr>
          <w:p w:rsidR="00F06C31" w:rsidRDefault="00F06C31" w:rsidP="004231B6">
            <w:pPr>
              <w:spacing w:before="80" w:after="80"/>
              <w:rPr>
                <w:rFonts w:ascii="Arial" w:hAnsi="Arial" w:cs="Arial"/>
                <w:szCs w:val="24"/>
              </w:rPr>
            </w:pPr>
            <w:r>
              <w:rPr>
                <w:rFonts w:ascii="Arial" w:hAnsi="Arial" w:cs="Arial"/>
                <w:szCs w:val="24"/>
              </w:rPr>
              <w:t>August 2017</w:t>
            </w:r>
          </w:p>
        </w:tc>
        <w:tc>
          <w:tcPr>
            <w:tcW w:w="4454" w:type="dxa"/>
          </w:tcPr>
          <w:p w:rsidR="00F06C31" w:rsidRDefault="00F06C31" w:rsidP="001A3A88">
            <w:pPr>
              <w:spacing w:before="80" w:after="80"/>
              <w:rPr>
                <w:rFonts w:ascii="Arial" w:hAnsi="Arial" w:cs="Arial"/>
                <w:i/>
                <w:iCs/>
                <w:szCs w:val="24"/>
              </w:rPr>
            </w:pPr>
            <w:r>
              <w:rPr>
                <w:rFonts w:ascii="Arial" w:hAnsi="Arial" w:cs="Arial"/>
                <w:i/>
                <w:iCs/>
                <w:szCs w:val="24"/>
              </w:rPr>
              <w:t>Approved by Governing Body</w:t>
            </w:r>
          </w:p>
        </w:tc>
      </w:tr>
      <w:tr w:rsidR="00164DD8" w:rsidRPr="004231B6" w:rsidTr="004231B6">
        <w:tc>
          <w:tcPr>
            <w:tcW w:w="1548" w:type="dxa"/>
          </w:tcPr>
          <w:p w:rsidR="00164DD8" w:rsidRDefault="00164DD8" w:rsidP="004231B6">
            <w:pPr>
              <w:spacing w:before="80" w:after="80"/>
              <w:rPr>
                <w:rFonts w:ascii="Arial" w:hAnsi="Arial" w:cs="Arial"/>
                <w:szCs w:val="24"/>
              </w:rPr>
            </w:pPr>
            <w:r>
              <w:rPr>
                <w:rFonts w:ascii="Arial" w:hAnsi="Arial" w:cs="Arial"/>
                <w:szCs w:val="24"/>
              </w:rPr>
              <w:t>V2.0</w:t>
            </w:r>
          </w:p>
        </w:tc>
        <w:tc>
          <w:tcPr>
            <w:tcW w:w="1980" w:type="dxa"/>
          </w:tcPr>
          <w:p w:rsidR="00164DD8" w:rsidRDefault="00492B88" w:rsidP="004231B6">
            <w:pPr>
              <w:spacing w:before="80" w:after="80"/>
              <w:rPr>
                <w:rFonts w:ascii="Arial" w:hAnsi="Arial" w:cs="Arial"/>
                <w:szCs w:val="24"/>
              </w:rPr>
            </w:pPr>
            <w:r>
              <w:rPr>
                <w:rFonts w:ascii="Arial" w:hAnsi="Arial" w:cs="Arial"/>
                <w:szCs w:val="24"/>
              </w:rPr>
              <w:t>Approved Policy</w:t>
            </w:r>
          </w:p>
        </w:tc>
        <w:tc>
          <w:tcPr>
            <w:tcW w:w="1260" w:type="dxa"/>
          </w:tcPr>
          <w:p w:rsidR="00164DD8" w:rsidRDefault="00164DD8" w:rsidP="004231B6">
            <w:pPr>
              <w:spacing w:before="80" w:after="80"/>
              <w:rPr>
                <w:rFonts w:ascii="Arial" w:hAnsi="Arial" w:cs="Arial"/>
                <w:szCs w:val="24"/>
              </w:rPr>
            </w:pPr>
            <w:r>
              <w:rPr>
                <w:rFonts w:ascii="Arial" w:hAnsi="Arial" w:cs="Arial"/>
                <w:szCs w:val="24"/>
              </w:rPr>
              <w:t>Septe</w:t>
            </w:r>
            <w:bookmarkStart w:id="0" w:name="_GoBack"/>
            <w:bookmarkEnd w:id="0"/>
            <w:r>
              <w:rPr>
                <w:rFonts w:ascii="Arial" w:hAnsi="Arial" w:cs="Arial"/>
                <w:szCs w:val="24"/>
              </w:rPr>
              <w:t>mber 2020</w:t>
            </w:r>
          </w:p>
        </w:tc>
        <w:tc>
          <w:tcPr>
            <w:tcW w:w="4454" w:type="dxa"/>
          </w:tcPr>
          <w:p w:rsidR="00164DD8" w:rsidRDefault="00F4589D" w:rsidP="001A3A88">
            <w:pPr>
              <w:spacing w:before="80" w:after="80"/>
              <w:rPr>
                <w:rFonts w:ascii="Arial" w:hAnsi="Arial" w:cs="Arial"/>
                <w:i/>
                <w:iCs/>
                <w:szCs w:val="24"/>
              </w:rPr>
            </w:pPr>
            <w:r>
              <w:rPr>
                <w:rFonts w:ascii="Arial" w:hAnsi="Arial" w:cs="Arial"/>
                <w:i/>
                <w:iCs/>
                <w:szCs w:val="24"/>
              </w:rPr>
              <w:t>Minor updates to reflect the role of the Primary Care Commissioning Committee (7.1.1) and include requirement for lead officers to seek advice on contracting issues (7.1.7)</w:t>
            </w:r>
          </w:p>
        </w:tc>
      </w:tr>
    </w:tbl>
    <w:p w:rsidR="008A50B0" w:rsidRPr="004231B6" w:rsidRDefault="008A50B0" w:rsidP="008F31FC">
      <w:pPr>
        <w:jc w:val="both"/>
        <w:rPr>
          <w:rFonts w:ascii="Arial" w:hAnsi="Arial" w:cs="Arial"/>
        </w:rPr>
      </w:pPr>
    </w:p>
    <w:p w:rsidR="008A50B0" w:rsidRPr="004231B6" w:rsidRDefault="008A50B0" w:rsidP="001432C4">
      <w:pPr>
        <w:jc w:val="center"/>
        <w:rPr>
          <w:rFonts w:ascii="Arial" w:hAnsi="Arial" w:cs="Arial"/>
        </w:rPr>
      </w:pPr>
      <w:r w:rsidRPr="004231B6">
        <w:rPr>
          <w:rFonts w:ascii="Arial" w:hAnsi="Arial" w:cs="Arial"/>
        </w:rPr>
        <w:br w:type="page"/>
      </w:r>
      <w:r w:rsidRPr="004231B6">
        <w:rPr>
          <w:rFonts w:ascii="Arial" w:hAnsi="Arial" w:cs="Arial"/>
          <w:b/>
        </w:rPr>
        <w:lastRenderedPageBreak/>
        <w:t>CONTENTS</w:t>
      </w:r>
    </w:p>
    <w:p w:rsidR="008A50B0" w:rsidRPr="004231B6" w:rsidRDefault="008A50B0" w:rsidP="008F31FC">
      <w:pPr>
        <w:jc w:val="both"/>
        <w:rPr>
          <w:rFonts w:ascii="Arial" w:hAnsi="Arial" w:cs="Arial"/>
        </w:rPr>
      </w:pPr>
    </w:p>
    <w:p w:rsidR="008A50B0" w:rsidRPr="004231B6" w:rsidRDefault="008A50B0" w:rsidP="008F31FC">
      <w:pPr>
        <w:jc w:val="both"/>
        <w:rPr>
          <w:rFonts w:ascii="Arial" w:hAnsi="Arial" w:cs="Arial"/>
        </w:rPr>
      </w:pPr>
    </w:p>
    <w:tbl>
      <w:tblPr>
        <w:tblStyle w:val="TableGrid"/>
        <w:tblW w:w="0" w:type="auto"/>
        <w:tblLook w:val="01E0" w:firstRow="1" w:lastRow="1" w:firstColumn="1" w:lastColumn="1" w:noHBand="0" w:noVBand="0"/>
      </w:tblPr>
      <w:tblGrid>
        <w:gridCol w:w="738"/>
        <w:gridCol w:w="7475"/>
        <w:gridCol w:w="1103"/>
      </w:tblGrid>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p>
        </w:tc>
        <w:tc>
          <w:tcPr>
            <w:tcW w:w="7475" w:type="dxa"/>
            <w:tcBorders>
              <w:top w:val="nil"/>
              <w:left w:val="nil"/>
              <w:bottom w:val="nil"/>
              <w:right w:val="nil"/>
            </w:tcBorders>
          </w:tcPr>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8A50B0" w:rsidP="009F031F">
            <w:pPr>
              <w:jc w:val="center"/>
              <w:rPr>
                <w:rFonts w:ascii="Arial" w:hAnsi="Arial" w:cs="Arial"/>
                <w:b/>
              </w:rPr>
            </w:pPr>
            <w:r w:rsidRPr="004231B6">
              <w:rPr>
                <w:rFonts w:ascii="Arial" w:hAnsi="Arial" w:cs="Arial"/>
                <w:b/>
              </w:rPr>
              <w:t>PAGE</w:t>
            </w:r>
          </w:p>
          <w:p w:rsidR="008A50B0" w:rsidRPr="004231B6" w:rsidRDefault="008A50B0" w:rsidP="009F031F">
            <w:pPr>
              <w:jc w:val="center"/>
              <w:rPr>
                <w:rFonts w:ascii="Arial" w:hAnsi="Arial" w:cs="Arial"/>
                <w:b/>
              </w:rPr>
            </w:pP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1.</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Introduction</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DF364D" w:rsidP="009F031F">
            <w:pPr>
              <w:jc w:val="center"/>
              <w:rPr>
                <w:rFonts w:ascii="Arial" w:hAnsi="Arial" w:cs="Arial"/>
              </w:rPr>
            </w:pPr>
            <w:r>
              <w:rPr>
                <w:rFonts w:ascii="Arial" w:hAnsi="Arial" w:cs="Arial"/>
              </w:rPr>
              <w:t>4</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2.</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Purpose</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DF364D" w:rsidP="009F031F">
            <w:pPr>
              <w:jc w:val="center"/>
              <w:rPr>
                <w:rFonts w:ascii="Arial" w:hAnsi="Arial" w:cs="Arial"/>
              </w:rPr>
            </w:pPr>
            <w:r>
              <w:rPr>
                <w:rFonts w:ascii="Arial" w:hAnsi="Arial" w:cs="Arial"/>
              </w:rPr>
              <w:t>4</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3.</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The Risks of not having this Policy in place</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DF364D" w:rsidP="009F031F">
            <w:pPr>
              <w:jc w:val="center"/>
              <w:rPr>
                <w:rFonts w:ascii="Arial" w:hAnsi="Arial" w:cs="Arial"/>
              </w:rPr>
            </w:pPr>
            <w:r>
              <w:rPr>
                <w:rFonts w:ascii="Arial" w:hAnsi="Arial" w:cs="Arial"/>
              </w:rPr>
              <w:t>5</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4.</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Definitions</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DF364D" w:rsidP="009F031F">
            <w:pPr>
              <w:jc w:val="center"/>
              <w:rPr>
                <w:rFonts w:ascii="Arial" w:hAnsi="Arial" w:cs="Arial"/>
              </w:rPr>
            </w:pPr>
            <w:r>
              <w:rPr>
                <w:rFonts w:ascii="Arial" w:hAnsi="Arial" w:cs="Arial"/>
              </w:rPr>
              <w:t>5</w:t>
            </w:r>
          </w:p>
        </w:tc>
      </w:tr>
      <w:tr w:rsidR="00DF364D" w:rsidRPr="004231B6" w:rsidTr="00B547D8">
        <w:tc>
          <w:tcPr>
            <w:tcW w:w="738" w:type="dxa"/>
            <w:tcBorders>
              <w:top w:val="nil"/>
              <w:left w:val="nil"/>
              <w:bottom w:val="nil"/>
              <w:right w:val="nil"/>
            </w:tcBorders>
          </w:tcPr>
          <w:p w:rsidR="00DF364D" w:rsidRPr="004231B6" w:rsidRDefault="00DF364D" w:rsidP="008F31FC">
            <w:pPr>
              <w:jc w:val="both"/>
              <w:rPr>
                <w:rFonts w:ascii="Arial" w:hAnsi="Arial" w:cs="Arial"/>
              </w:rPr>
            </w:pPr>
            <w:r>
              <w:rPr>
                <w:rFonts w:ascii="Arial" w:hAnsi="Arial" w:cs="Arial"/>
              </w:rPr>
              <w:t>5.</w:t>
            </w:r>
          </w:p>
        </w:tc>
        <w:tc>
          <w:tcPr>
            <w:tcW w:w="7475" w:type="dxa"/>
            <w:tcBorders>
              <w:top w:val="nil"/>
              <w:left w:val="nil"/>
              <w:bottom w:val="nil"/>
              <w:right w:val="nil"/>
            </w:tcBorders>
          </w:tcPr>
          <w:p w:rsidR="00DF364D" w:rsidRDefault="00DF364D" w:rsidP="008F31FC">
            <w:pPr>
              <w:jc w:val="both"/>
              <w:rPr>
                <w:rFonts w:ascii="Arial" w:hAnsi="Arial" w:cs="Arial"/>
              </w:rPr>
            </w:pPr>
            <w:r>
              <w:rPr>
                <w:rFonts w:ascii="Arial" w:hAnsi="Arial" w:cs="Arial"/>
              </w:rPr>
              <w:t>Equality and Diversity</w:t>
            </w:r>
          </w:p>
          <w:p w:rsidR="00DF364D" w:rsidRPr="004231B6" w:rsidRDefault="00DF364D" w:rsidP="008F31FC">
            <w:pPr>
              <w:jc w:val="both"/>
              <w:rPr>
                <w:rFonts w:ascii="Arial" w:hAnsi="Arial" w:cs="Arial"/>
              </w:rPr>
            </w:pPr>
          </w:p>
        </w:tc>
        <w:tc>
          <w:tcPr>
            <w:tcW w:w="1103" w:type="dxa"/>
            <w:tcBorders>
              <w:top w:val="nil"/>
              <w:left w:val="nil"/>
              <w:bottom w:val="nil"/>
              <w:right w:val="nil"/>
            </w:tcBorders>
          </w:tcPr>
          <w:p w:rsidR="00DF364D" w:rsidRDefault="00DF364D" w:rsidP="009F031F">
            <w:pPr>
              <w:jc w:val="center"/>
              <w:rPr>
                <w:rFonts w:ascii="Arial" w:hAnsi="Arial" w:cs="Arial"/>
              </w:rPr>
            </w:pPr>
            <w:r>
              <w:rPr>
                <w:rFonts w:ascii="Arial" w:hAnsi="Arial" w:cs="Arial"/>
              </w:rPr>
              <w:t>5</w:t>
            </w:r>
          </w:p>
        </w:tc>
      </w:tr>
      <w:tr w:rsidR="008A50B0" w:rsidRPr="004231B6" w:rsidTr="00B547D8">
        <w:tc>
          <w:tcPr>
            <w:tcW w:w="738" w:type="dxa"/>
            <w:tcBorders>
              <w:top w:val="nil"/>
              <w:left w:val="nil"/>
              <w:bottom w:val="nil"/>
              <w:right w:val="nil"/>
            </w:tcBorders>
          </w:tcPr>
          <w:p w:rsidR="008A50B0" w:rsidRPr="004231B6" w:rsidRDefault="00B547D8" w:rsidP="008F31FC">
            <w:pPr>
              <w:jc w:val="both"/>
              <w:rPr>
                <w:rFonts w:ascii="Arial" w:hAnsi="Arial" w:cs="Arial"/>
              </w:rPr>
            </w:pPr>
            <w:r>
              <w:rPr>
                <w:rFonts w:ascii="Arial" w:hAnsi="Arial" w:cs="Arial"/>
              </w:rPr>
              <w:t>6</w:t>
            </w:r>
            <w:r w:rsidR="008A50B0" w:rsidRPr="004231B6">
              <w:rPr>
                <w:rFonts w:ascii="Arial" w:hAnsi="Arial" w:cs="Arial"/>
              </w:rPr>
              <w:t>.</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Principles</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DF364D" w:rsidP="009F031F">
            <w:pPr>
              <w:jc w:val="center"/>
              <w:rPr>
                <w:rFonts w:ascii="Arial" w:hAnsi="Arial" w:cs="Arial"/>
              </w:rPr>
            </w:pPr>
            <w:r>
              <w:rPr>
                <w:rFonts w:ascii="Arial" w:hAnsi="Arial" w:cs="Arial"/>
              </w:rPr>
              <w:t>5</w:t>
            </w:r>
          </w:p>
        </w:tc>
      </w:tr>
      <w:tr w:rsidR="008A50B0" w:rsidRPr="004231B6" w:rsidTr="00B547D8">
        <w:tc>
          <w:tcPr>
            <w:tcW w:w="738" w:type="dxa"/>
            <w:tcBorders>
              <w:top w:val="nil"/>
              <w:left w:val="nil"/>
              <w:bottom w:val="nil"/>
              <w:right w:val="nil"/>
            </w:tcBorders>
          </w:tcPr>
          <w:p w:rsidR="008A50B0" w:rsidRPr="004231B6" w:rsidRDefault="00B547D8" w:rsidP="008F31FC">
            <w:pPr>
              <w:jc w:val="both"/>
              <w:rPr>
                <w:rFonts w:ascii="Arial" w:hAnsi="Arial" w:cs="Arial"/>
              </w:rPr>
            </w:pPr>
            <w:r>
              <w:rPr>
                <w:rFonts w:ascii="Arial" w:hAnsi="Arial" w:cs="Arial"/>
              </w:rPr>
              <w:t>7</w:t>
            </w:r>
            <w:r w:rsidR="008A50B0" w:rsidRPr="004231B6">
              <w:rPr>
                <w:rFonts w:ascii="Arial" w:hAnsi="Arial" w:cs="Arial"/>
              </w:rPr>
              <w:t>.</w:t>
            </w:r>
          </w:p>
        </w:tc>
        <w:tc>
          <w:tcPr>
            <w:tcW w:w="7475"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Roles and Responsibilities</w:t>
            </w:r>
          </w:p>
          <w:p w:rsidR="008A50B0" w:rsidRPr="004231B6" w:rsidRDefault="008A50B0" w:rsidP="008F31FC">
            <w:pPr>
              <w:jc w:val="both"/>
              <w:rPr>
                <w:rFonts w:ascii="Arial" w:hAnsi="Arial" w:cs="Arial"/>
              </w:rPr>
            </w:pPr>
          </w:p>
        </w:tc>
        <w:tc>
          <w:tcPr>
            <w:tcW w:w="1103" w:type="dxa"/>
            <w:tcBorders>
              <w:top w:val="nil"/>
              <w:left w:val="nil"/>
              <w:bottom w:val="nil"/>
              <w:right w:val="nil"/>
            </w:tcBorders>
          </w:tcPr>
          <w:p w:rsidR="008A50B0" w:rsidRPr="004231B6" w:rsidRDefault="008B4778" w:rsidP="009F031F">
            <w:pPr>
              <w:jc w:val="center"/>
              <w:rPr>
                <w:rFonts w:ascii="Arial" w:hAnsi="Arial" w:cs="Arial"/>
              </w:rPr>
            </w:pPr>
            <w:r>
              <w:rPr>
                <w:rFonts w:ascii="Arial" w:hAnsi="Arial" w:cs="Arial"/>
              </w:rPr>
              <w:t>5-8</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8.</w:t>
            </w:r>
          </w:p>
        </w:tc>
        <w:tc>
          <w:tcPr>
            <w:tcW w:w="7475" w:type="dxa"/>
            <w:tcBorders>
              <w:top w:val="nil"/>
              <w:left w:val="nil"/>
              <w:bottom w:val="nil"/>
              <w:right w:val="nil"/>
            </w:tcBorders>
          </w:tcPr>
          <w:p w:rsidR="008A50B0" w:rsidRPr="004231B6" w:rsidRDefault="008A50B0" w:rsidP="00F82E06">
            <w:pPr>
              <w:jc w:val="both"/>
              <w:rPr>
                <w:rFonts w:ascii="Arial" w:hAnsi="Arial" w:cs="Arial"/>
              </w:rPr>
            </w:pPr>
            <w:r w:rsidRPr="004231B6">
              <w:rPr>
                <w:rFonts w:ascii="Arial" w:hAnsi="Arial" w:cs="Arial"/>
              </w:rPr>
              <w:t>Procedure</w:t>
            </w:r>
          </w:p>
          <w:p w:rsidR="008A50B0" w:rsidRPr="004231B6" w:rsidRDefault="008A50B0" w:rsidP="00F82E06">
            <w:pPr>
              <w:jc w:val="both"/>
              <w:rPr>
                <w:rFonts w:ascii="Arial" w:hAnsi="Arial" w:cs="Arial"/>
              </w:rPr>
            </w:pPr>
          </w:p>
        </w:tc>
        <w:tc>
          <w:tcPr>
            <w:tcW w:w="1103" w:type="dxa"/>
            <w:tcBorders>
              <w:top w:val="nil"/>
              <w:left w:val="nil"/>
              <w:bottom w:val="nil"/>
              <w:right w:val="nil"/>
            </w:tcBorders>
          </w:tcPr>
          <w:p w:rsidR="008A50B0" w:rsidRPr="004231B6" w:rsidRDefault="00B547D8" w:rsidP="009F031F">
            <w:pPr>
              <w:jc w:val="center"/>
              <w:rPr>
                <w:rFonts w:ascii="Arial" w:hAnsi="Arial" w:cs="Arial"/>
              </w:rPr>
            </w:pPr>
            <w:r>
              <w:rPr>
                <w:rFonts w:ascii="Arial" w:hAnsi="Arial" w:cs="Arial"/>
              </w:rPr>
              <w:t>8-1</w:t>
            </w:r>
            <w:r w:rsidR="002A47A1">
              <w:rPr>
                <w:rFonts w:ascii="Arial" w:hAnsi="Arial" w:cs="Arial"/>
              </w:rPr>
              <w:t>5</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9.</w:t>
            </w:r>
          </w:p>
        </w:tc>
        <w:tc>
          <w:tcPr>
            <w:tcW w:w="7475" w:type="dxa"/>
            <w:tcBorders>
              <w:top w:val="nil"/>
              <w:left w:val="nil"/>
              <w:bottom w:val="nil"/>
              <w:right w:val="nil"/>
            </w:tcBorders>
          </w:tcPr>
          <w:p w:rsidR="008A50B0" w:rsidRPr="004231B6" w:rsidRDefault="008A50B0" w:rsidP="00F82E06">
            <w:pPr>
              <w:jc w:val="both"/>
              <w:rPr>
                <w:rFonts w:ascii="Arial" w:hAnsi="Arial" w:cs="Arial"/>
              </w:rPr>
            </w:pPr>
            <w:r w:rsidRPr="004231B6">
              <w:rPr>
                <w:rFonts w:ascii="Arial" w:hAnsi="Arial" w:cs="Arial"/>
              </w:rPr>
              <w:t>Monitoring the Compliance and Effectiveness of this Policy</w:t>
            </w:r>
          </w:p>
          <w:p w:rsidR="008A50B0" w:rsidRPr="004231B6" w:rsidRDefault="008A50B0" w:rsidP="00F82E06">
            <w:pPr>
              <w:jc w:val="both"/>
              <w:rPr>
                <w:rFonts w:ascii="Arial" w:hAnsi="Arial" w:cs="Arial"/>
              </w:rPr>
            </w:pPr>
          </w:p>
        </w:tc>
        <w:tc>
          <w:tcPr>
            <w:tcW w:w="1103" w:type="dxa"/>
            <w:tcBorders>
              <w:top w:val="nil"/>
              <w:left w:val="nil"/>
              <w:bottom w:val="nil"/>
              <w:right w:val="nil"/>
            </w:tcBorders>
          </w:tcPr>
          <w:p w:rsidR="008A50B0" w:rsidRPr="004231B6" w:rsidRDefault="00B547D8" w:rsidP="009F031F">
            <w:pPr>
              <w:jc w:val="center"/>
              <w:rPr>
                <w:rFonts w:ascii="Arial" w:hAnsi="Arial" w:cs="Arial"/>
              </w:rPr>
            </w:pPr>
            <w:r>
              <w:rPr>
                <w:rFonts w:ascii="Arial" w:hAnsi="Arial" w:cs="Arial"/>
              </w:rPr>
              <w:t>1</w:t>
            </w:r>
            <w:r w:rsidR="004A21C1">
              <w:rPr>
                <w:rFonts w:ascii="Arial" w:hAnsi="Arial" w:cs="Arial"/>
              </w:rPr>
              <w:t>4</w:t>
            </w:r>
          </w:p>
        </w:tc>
      </w:tr>
      <w:tr w:rsidR="008A50B0" w:rsidRPr="004231B6" w:rsidTr="00B547D8">
        <w:tc>
          <w:tcPr>
            <w:tcW w:w="738" w:type="dxa"/>
            <w:tcBorders>
              <w:top w:val="nil"/>
              <w:left w:val="nil"/>
              <w:bottom w:val="nil"/>
              <w:right w:val="nil"/>
            </w:tcBorders>
          </w:tcPr>
          <w:p w:rsidR="008A50B0" w:rsidRPr="004231B6" w:rsidRDefault="008A50B0" w:rsidP="008F31FC">
            <w:pPr>
              <w:jc w:val="both"/>
              <w:rPr>
                <w:rFonts w:ascii="Arial" w:hAnsi="Arial" w:cs="Arial"/>
              </w:rPr>
            </w:pPr>
            <w:r w:rsidRPr="004231B6">
              <w:rPr>
                <w:rFonts w:ascii="Arial" w:hAnsi="Arial" w:cs="Arial"/>
              </w:rPr>
              <w:t>11.</w:t>
            </w:r>
          </w:p>
        </w:tc>
        <w:tc>
          <w:tcPr>
            <w:tcW w:w="7475" w:type="dxa"/>
            <w:tcBorders>
              <w:top w:val="nil"/>
              <w:left w:val="nil"/>
              <w:bottom w:val="nil"/>
              <w:right w:val="nil"/>
            </w:tcBorders>
          </w:tcPr>
          <w:p w:rsidR="008A50B0" w:rsidRDefault="008A50B0" w:rsidP="00F82E06">
            <w:pPr>
              <w:jc w:val="both"/>
              <w:rPr>
                <w:rFonts w:ascii="Arial" w:hAnsi="Arial" w:cs="Arial"/>
              </w:rPr>
            </w:pPr>
            <w:r w:rsidRPr="004231B6">
              <w:rPr>
                <w:rFonts w:ascii="Arial" w:hAnsi="Arial" w:cs="Arial"/>
              </w:rPr>
              <w:t>Review of this Policy</w:t>
            </w:r>
          </w:p>
          <w:p w:rsidR="00B547D8" w:rsidRPr="004231B6" w:rsidRDefault="00B547D8" w:rsidP="00F82E06">
            <w:pPr>
              <w:jc w:val="both"/>
              <w:rPr>
                <w:rFonts w:ascii="Arial" w:hAnsi="Arial" w:cs="Arial"/>
              </w:rPr>
            </w:pPr>
          </w:p>
        </w:tc>
        <w:tc>
          <w:tcPr>
            <w:tcW w:w="1103" w:type="dxa"/>
            <w:tcBorders>
              <w:top w:val="nil"/>
              <w:left w:val="nil"/>
              <w:bottom w:val="nil"/>
              <w:right w:val="nil"/>
            </w:tcBorders>
          </w:tcPr>
          <w:p w:rsidR="008A50B0" w:rsidRPr="004231B6" w:rsidRDefault="00B547D8" w:rsidP="009F031F">
            <w:pPr>
              <w:jc w:val="center"/>
              <w:rPr>
                <w:rFonts w:ascii="Arial" w:hAnsi="Arial" w:cs="Arial"/>
              </w:rPr>
            </w:pPr>
            <w:r>
              <w:rPr>
                <w:rFonts w:ascii="Arial" w:hAnsi="Arial" w:cs="Arial"/>
              </w:rPr>
              <w:t>15</w:t>
            </w:r>
          </w:p>
        </w:tc>
      </w:tr>
      <w:tr w:rsidR="004A21C1" w:rsidRPr="004231B6" w:rsidTr="00B547D8">
        <w:tc>
          <w:tcPr>
            <w:tcW w:w="738" w:type="dxa"/>
            <w:tcBorders>
              <w:top w:val="nil"/>
              <w:left w:val="nil"/>
              <w:bottom w:val="nil"/>
              <w:right w:val="nil"/>
            </w:tcBorders>
          </w:tcPr>
          <w:p w:rsidR="004A21C1" w:rsidRPr="004231B6" w:rsidRDefault="004A21C1" w:rsidP="008F31FC">
            <w:pPr>
              <w:jc w:val="both"/>
              <w:rPr>
                <w:rFonts w:ascii="Arial" w:hAnsi="Arial" w:cs="Arial"/>
              </w:rPr>
            </w:pPr>
          </w:p>
        </w:tc>
        <w:tc>
          <w:tcPr>
            <w:tcW w:w="7475" w:type="dxa"/>
            <w:tcBorders>
              <w:top w:val="nil"/>
              <w:left w:val="nil"/>
              <w:bottom w:val="nil"/>
              <w:right w:val="nil"/>
            </w:tcBorders>
          </w:tcPr>
          <w:p w:rsidR="004A21C1" w:rsidRPr="004231B6" w:rsidRDefault="004A21C1" w:rsidP="004A21C1">
            <w:pPr>
              <w:jc w:val="both"/>
              <w:rPr>
                <w:rFonts w:ascii="Arial" w:hAnsi="Arial" w:cs="Arial"/>
              </w:rPr>
            </w:pPr>
            <w:r>
              <w:rPr>
                <w:rFonts w:ascii="Arial" w:hAnsi="Arial" w:cs="Arial"/>
              </w:rPr>
              <w:t>Appendix 1 – Summary Decommissioning Decision Framework</w:t>
            </w:r>
          </w:p>
        </w:tc>
        <w:tc>
          <w:tcPr>
            <w:tcW w:w="1103" w:type="dxa"/>
            <w:tcBorders>
              <w:top w:val="nil"/>
              <w:left w:val="nil"/>
              <w:bottom w:val="nil"/>
              <w:right w:val="nil"/>
            </w:tcBorders>
          </w:tcPr>
          <w:p w:rsidR="004A21C1" w:rsidRDefault="004A21C1" w:rsidP="009F031F">
            <w:pPr>
              <w:jc w:val="center"/>
              <w:rPr>
                <w:rFonts w:ascii="Arial" w:hAnsi="Arial" w:cs="Arial"/>
              </w:rPr>
            </w:pPr>
            <w:r>
              <w:rPr>
                <w:rFonts w:ascii="Arial" w:hAnsi="Arial" w:cs="Arial"/>
              </w:rPr>
              <w:t>16</w:t>
            </w:r>
          </w:p>
        </w:tc>
      </w:tr>
    </w:tbl>
    <w:p w:rsidR="008A50B0" w:rsidRPr="004231B6" w:rsidRDefault="008A50B0" w:rsidP="008F31FC">
      <w:pPr>
        <w:jc w:val="both"/>
        <w:rPr>
          <w:rFonts w:ascii="Arial" w:hAnsi="Arial" w:cs="Arial"/>
        </w:rPr>
      </w:pPr>
    </w:p>
    <w:p w:rsidR="008A50B0" w:rsidRPr="005461F8" w:rsidRDefault="008A50B0" w:rsidP="005461F8">
      <w:pPr>
        <w:rPr>
          <w:rFonts w:ascii="Arial" w:hAnsi="Arial" w:cs="Arial"/>
          <w:b/>
        </w:rPr>
      </w:pPr>
      <w:r w:rsidRPr="004231B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05"/>
        <w:gridCol w:w="984"/>
        <w:gridCol w:w="6811"/>
      </w:tblGrid>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p>
        </w:tc>
        <w:tc>
          <w:tcPr>
            <w:tcW w:w="8600" w:type="dxa"/>
            <w:gridSpan w:val="3"/>
            <w:tcBorders>
              <w:top w:val="nil"/>
              <w:left w:val="nil"/>
              <w:bottom w:val="nil"/>
              <w:right w:val="nil"/>
            </w:tcBorders>
          </w:tcPr>
          <w:p w:rsidR="008A50B0" w:rsidRPr="004231B6" w:rsidRDefault="008A50B0" w:rsidP="00665129">
            <w:pPr>
              <w:jc w:val="center"/>
              <w:rPr>
                <w:rFonts w:ascii="Arial" w:hAnsi="Arial" w:cs="Arial"/>
                <w:b/>
                <w:szCs w:val="24"/>
              </w:rPr>
            </w:pPr>
            <w:r w:rsidRPr="004231B6">
              <w:rPr>
                <w:rFonts w:ascii="Arial" w:hAnsi="Arial" w:cs="Arial"/>
                <w:b/>
                <w:szCs w:val="24"/>
              </w:rPr>
              <w:t>BARNSLEY</w:t>
            </w:r>
            <w:r w:rsidR="00AF6116" w:rsidRPr="004231B6">
              <w:rPr>
                <w:rFonts w:ascii="Arial" w:hAnsi="Arial" w:cs="Arial"/>
                <w:b/>
                <w:szCs w:val="24"/>
              </w:rPr>
              <w:t xml:space="preserve"> CLINICAL COMMISSIONING GROUP</w:t>
            </w:r>
          </w:p>
          <w:p w:rsidR="008A50B0" w:rsidRPr="004231B6" w:rsidRDefault="000557E5" w:rsidP="00665129">
            <w:pPr>
              <w:jc w:val="center"/>
              <w:rPr>
                <w:rFonts w:ascii="Arial" w:hAnsi="Arial" w:cs="Arial"/>
                <w:b/>
              </w:rPr>
            </w:pPr>
            <w:r>
              <w:rPr>
                <w:rFonts w:ascii="Arial" w:hAnsi="Arial" w:cs="Arial"/>
                <w:b/>
              </w:rPr>
              <w:t xml:space="preserve">DECOMMISSIONING </w:t>
            </w:r>
            <w:r w:rsidR="008A50B0" w:rsidRPr="004231B6">
              <w:rPr>
                <w:rFonts w:ascii="Arial" w:hAnsi="Arial" w:cs="Arial"/>
                <w:b/>
              </w:rPr>
              <w:t xml:space="preserve">POLICY </w:t>
            </w:r>
          </w:p>
          <w:p w:rsidR="008A50B0" w:rsidRPr="004231B6" w:rsidRDefault="008A50B0" w:rsidP="000557E5">
            <w:pPr>
              <w:jc w:val="center"/>
              <w:rPr>
                <w:rFonts w:ascii="Arial" w:hAnsi="Arial" w:cs="Arial"/>
                <w:b/>
              </w:rPr>
            </w:pPr>
          </w:p>
        </w:tc>
      </w:tr>
      <w:tr w:rsidR="008A50B0" w:rsidRPr="004231B6">
        <w:tc>
          <w:tcPr>
            <w:tcW w:w="642" w:type="dxa"/>
            <w:tcBorders>
              <w:top w:val="nil"/>
              <w:left w:val="nil"/>
              <w:bottom w:val="nil"/>
              <w:right w:val="nil"/>
            </w:tcBorders>
          </w:tcPr>
          <w:p w:rsidR="008A50B0" w:rsidRPr="004231B6" w:rsidRDefault="000557E5" w:rsidP="0051083D">
            <w:pPr>
              <w:jc w:val="both"/>
              <w:rPr>
                <w:rFonts w:ascii="Arial" w:hAnsi="Arial" w:cs="Arial"/>
                <w:b/>
              </w:rPr>
            </w:pPr>
            <w:r>
              <w:rPr>
                <w:rFonts w:ascii="Arial" w:hAnsi="Arial" w:cs="Arial"/>
                <w:b/>
              </w:rPr>
              <w:t>1</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Introduction</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rPr>
            </w:pPr>
          </w:p>
        </w:tc>
        <w:tc>
          <w:tcPr>
            <w:tcW w:w="805" w:type="dxa"/>
            <w:tcBorders>
              <w:top w:val="nil"/>
              <w:left w:val="nil"/>
              <w:bottom w:val="nil"/>
              <w:right w:val="nil"/>
            </w:tcBorders>
          </w:tcPr>
          <w:p w:rsidR="008A50B0" w:rsidRPr="004231B6" w:rsidRDefault="00240AB5" w:rsidP="0051083D">
            <w:pPr>
              <w:jc w:val="both"/>
              <w:rPr>
                <w:rFonts w:ascii="Arial" w:hAnsi="Arial" w:cs="Arial"/>
              </w:rPr>
            </w:pPr>
            <w:r>
              <w:rPr>
                <w:rFonts w:ascii="Arial" w:hAnsi="Arial" w:cs="Arial"/>
              </w:rPr>
              <w:t>1</w:t>
            </w:r>
            <w:r w:rsidR="008A50B0" w:rsidRPr="004231B6">
              <w:rPr>
                <w:rFonts w:ascii="Arial" w:hAnsi="Arial" w:cs="Arial"/>
              </w:rPr>
              <w:t>.1</w:t>
            </w:r>
          </w:p>
        </w:tc>
        <w:tc>
          <w:tcPr>
            <w:tcW w:w="7795" w:type="dxa"/>
            <w:gridSpan w:val="2"/>
            <w:tcBorders>
              <w:top w:val="nil"/>
              <w:left w:val="nil"/>
              <w:bottom w:val="nil"/>
              <w:right w:val="nil"/>
            </w:tcBorders>
          </w:tcPr>
          <w:p w:rsidR="00427820" w:rsidRPr="00427820" w:rsidRDefault="00427820" w:rsidP="00427820">
            <w:pPr>
              <w:jc w:val="both"/>
              <w:rPr>
                <w:rFonts w:ascii="Arial" w:hAnsi="Arial" w:cs="Arial"/>
              </w:rPr>
            </w:pPr>
            <w:r w:rsidRPr="00427820">
              <w:rPr>
                <w:rFonts w:ascii="Arial" w:hAnsi="Arial" w:cs="Arial"/>
              </w:rPr>
              <w:t>To ensure that limited resources are consistently directed to the highest priority areas</w:t>
            </w:r>
            <w:r w:rsidR="00BB18B6">
              <w:rPr>
                <w:rFonts w:ascii="Arial" w:hAnsi="Arial" w:cs="Arial"/>
              </w:rPr>
              <w:t>, and in order that the CCG is taking a holistic view of service provision to promote innovation and ensure th</w:t>
            </w:r>
            <w:r w:rsidR="008B416D">
              <w:rPr>
                <w:rFonts w:ascii="Arial" w:hAnsi="Arial" w:cs="Arial"/>
              </w:rPr>
              <w:t>at</w:t>
            </w:r>
            <w:r w:rsidR="00BB18B6">
              <w:rPr>
                <w:rFonts w:ascii="Arial" w:hAnsi="Arial" w:cs="Arial"/>
              </w:rPr>
              <w:t xml:space="preserve"> all elements fit and comple</w:t>
            </w:r>
            <w:r w:rsidR="00BB18B6" w:rsidRPr="00BB18B6">
              <w:rPr>
                <w:rFonts w:ascii="Arial" w:hAnsi="Arial" w:cs="Arial"/>
              </w:rPr>
              <w:t>ment</w:t>
            </w:r>
            <w:r w:rsidR="00BB18B6">
              <w:rPr>
                <w:rFonts w:ascii="Arial" w:hAnsi="Arial" w:cs="Arial"/>
              </w:rPr>
              <w:t xml:space="preserve"> each other,</w:t>
            </w:r>
            <w:r w:rsidRPr="00427820">
              <w:rPr>
                <w:rFonts w:ascii="Arial" w:hAnsi="Arial" w:cs="Arial"/>
              </w:rPr>
              <w:t xml:space="preserve"> the CCG has </w:t>
            </w:r>
            <w:r>
              <w:rPr>
                <w:rFonts w:ascii="Arial" w:hAnsi="Arial" w:cs="Arial"/>
              </w:rPr>
              <w:t>develop</w:t>
            </w:r>
            <w:r w:rsidR="00BB18B6">
              <w:rPr>
                <w:rFonts w:ascii="Arial" w:hAnsi="Arial" w:cs="Arial"/>
              </w:rPr>
              <w:t>ed</w:t>
            </w:r>
            <w:r>
              <w:rPr>
                <w:rFonts w:ascii="Arial" w:hAnsi="Arial" w:cs="Arial"/>
              </w:rPr>
              <w:t xml:space="preserve"> a ‘</w:t>
            </w:r>
            <w:r w:rsidR="000F4794">
              <w:rPr>
                <w:rFonts w:ascii="Arial" w:hAnsi="Arial" w:cs="Arial"/>
              </w:rPr>
              <w:t xml:space="preserve">Decommissioning </w:t>
            </w:r>
            <w:r>
              <w:rPr>
                <w:rFonts w:ascii="Arial" w:hAnsi="Arial" w:cs="Arial"/>
              </w:rPr>
              <w:t>Policy’</w:t>
            </w:r>
            <w:r w:rsidRPr="00427820">
              <w:rPr>
                <w:rFonts w:ascii="Arial" w:hAnsi="Arial" w:cs="Arial"/>
              </w:rPr>
              <w:t xml:space="preserve"> that sets out the agreed principles for de</w:t>
            </w:r>
            <w:r>
              <w:rPr>
                <w:rFonts w:ascii="Arial" w:hAnsi="Arial" w:cs="Arial"/>
              </w:rPr>
              <w:t>commissioning a service.</w:t>
            </w:r>
          </w:p>
          <w:p w:rsidR="00427820" w:rsidRPr="004231B6" w:rsidRDefault="00427820" w:rsidP="00427820">
            <w:pPr>
              <w:jc w:val="both"/>
              <w:rPr>
                <w:rFonts w:ascii="Arial" w:hAnsi="Arial" w:cs="Arial"/>
              </w:rPr>
            </w:pPr>
          </w:p>
        </w:tc>
      </w:tr>
      <w:tr w:rsidR="00D35F33" w:rsidRPr="004231B6">
        <w:tc>
          <w:tcPr>
            <w:tcW w:w="642" w:type="dxa"/>
            <w:tcBorders>
              <w:top w:val="nil"/>
              <w:left w:val="nil"/>
              <w:bottom w:val="nil"/>
              <w:right w:val="nil"/>
            </w:tcBorders>
          </w:tcPr>
          <w:p w:rsidR="00D35F33" w:rsidRPr="004231B6" w:rsidRDefault="00D35F33" w:rsidP="0051083D">
            <w:pPr>
              <w:jc w:val="both"/>
              <w:rPr>
                <w:rFonts w:ascii="Arial" w:hAnsi="Arial" w:cs="Arial"/>
              </w:rPr>
            </w:pPr>
          </w:p>
        </w:tc>
        <w:tc>
          <w:tcPr>
            <w:tcW w:w="805" w:type="dxa"/>
            <w:tcBorders>
              <w:top w:val="nil"/>
              <w:left w:val="nil"/>
              <w:bottom w:val="nil"/>
              <w:right w:val="nil"/>
            </w:tcBorders>
          </w:tcPr>
          <w:p w:rsidR="00D35F33" w:rsidRDefault="00D35F33" w:rsidP="00D35F33">
            <w:pPr>
              <w:jc w:val="both"/>
              <w:rPr>
                <w:rFonts w:ascii="Arial" w:hAnsi="Arial" w:cs="Arial"/>
              </w:rPr>
            </w:pPr>
            <w:r>
              <w:rPr>
                <w:rFonts w:ascii="Arial" w:hAnsi="Arial" w:cs="Arial"/>
              </w:rPr>
              <w:t>1.2</w:t>
            </w:r>
          </w:p>
        </w:tc>
        <w:tc>
          <w:tcPr>
            <w:tcW w:w="7795" w:type="dxa"/>
            <w:gridSpan w:val="2"/>
            <w:tcBorders>
              <w:top w:val="nil"/>
              <w:left w:val="nil"/>
              <w:bottom w:val="nil"/>
              <w:right w:val="nil"/>
            </w:tcBorders>
          </w:tcPr>
          <w:p w:rsidR="00D35F33" w:rsidRPr="00D35F33" w:rsidRDefault="00D35F33" w:rsidP="00D35F33">
            <w:pPr>
              <w:jc w:val="both"/>
              <w:rPr>
                <w:rFonts w:ascii="Arial" w:hAnsi="Arial" w:cs="Arial"/>
              </w:rPr>
            </w:pPr>
            <w:r w:rsidRPr="00D35F33">
              <w:rPr>
                <w:rFonts w:ascii="Arial" w:hAnsi="Arial" w:cs="Arial"/>
              </w:rPr>
              <w:t>Following any service review a number of options will be available to the CCG. These will include:</w:t>
            </w:r>
          </w:p>
          <w:p w:rsidR="00D35F33" w:rsidRDefault="00504BDD" w:rsidP="00EA08AA">
            <w:pPr>
              <w:pStyle w:val="ListParagraph"/>
              <w:numPr>
                <w:ilvl w:val="0"/>
                <w:numId w:val="1"/>
              </w:numPr>
              <w:jc w:val="both"/>
              <w:rPr>
                <w:rFonts w:ascii="Arial" w:hAnsi="Arial" w:cs="Arial"/>
              </w:rPr>
            </w:pPr>
            <w:r>
              <w:rPr>
                <w:rFonts w:ascii="Arial" w:hAnsi="Arial" w:cs="Arial"/>
              </w:rPr>
              <w:t>The need to re-</w:t>
            </w:r>
            <w:r w:rsidR="00D35F33" w:rsidRPr="00D35F33">
              <w:rPr>
                <w:rFonts w:ascii="Arial" w:hAnsi="Arial" w:cs="Arial"/>
              </w:rPr>
              <w:t xml:space="preserve">commission </w:t>
            </w:r>
            <w:r>
              <w:rPr>
                <w:rFonts w:ascii="Arial" w:hAnsi="Arial" w:cs="Arial"/>
              </w:rPr>
              <w:t xml:space="preserve">all or </w:t>
            </w:r>
            <w:r w:rsidR="00D35F33" w:rsidRPr="00D35F33">
              <w:rPr>
                <w:rFonts w:ascii="Arial" w:hAnsi="Arial" w:cs="Arial"/>
              </w:rPr>
              <w:t>part of the service,</w:t>
            </w:r>
          </w:p>
          <w:p w:rsidR="00D35F33" w:rsidRDefault="00D35F33" w:rsidP="00EA08AA">
            <w:pPr>
              <w:pStyle w:val="ListParagraph"/>
              <w:numPr>
                <w:ilvl w:val="0"/>
                <w:numId w:val="1"/>
              </w:numPr>
              <w:jc w:val="both"/>
              <w:rPr>
                <w:rFonts w:ascii="Arial" w:hAnsi="Arial" w:cs="Arial"/>
              </w:rPr>
            </w:pPr>
            <w:r w:rsidRPr="00D35F33">
              <w:rPr>
                <w:rFonts w:ascii="Arial" w:hAnsi="Arial" w:cs="Arial"/>
              </w:rPr>
              <w:t xml:space="preserve">Amend the threshold / </w:t>
            </w:r>
            <w:r w:rsidR="00504BDD">
              <w:rPr>
                <w:rFonts w:ascii="Arial" w:hAnsi="Arial" w:cs="Arial"/>
              </w:rPr>
              <w:t xml:space="preserve">criteria to </w:t>
            </w:r>
            <w:r w:rsidRPr="00D35F33">
              <w:rPr>
                <w:rFonts w:ascii="Arial" w:hAnsi="Arial" w:cs="Arial"/>
              </w:rPr>
              <w:t xml:space="preserve">access a service </w:t>
            </w:r>
          </w:p>
          <w:p w:rsidR="00D35F33" w:rsidRDefault="00D35F33" w:rsidP="00EA08AA">
            <w:pPr>
              <w:pStyle w:val="ListParagraph"/>
              <w:numPr>
                <w:ilvl w:val="0"/>
                <w:numId w:val="1"/>
              </w:numPr>
              <w:jc w:val="both"/>
              <w:rPr>
                <w:rFonts w:ascii="Arial" w:hAnsi="Arial" w:cs="Arial"/>
              </w:rPr>
            </w:pPr>
            <w:r w:rsidRPr="00D35F33">
              <w:rPr>
                <w:rFonts w:ascii="Arial" w:hAnsi="Arial" w:cs="Arial"/>
              </w:rPr>
              <w:t>Provide a modified service to ensure that there are no gaps in healthcare delivery.</w:t>
            </w:r>
          </w:p>
          <w:p w:rsidR="008B416D" w:rsidRPr="00D35F33" w:rsidRDefault="008B416D" w:rsidP="00EA08AA">
            <w:pPr>
              <w:pStyle w:val="ListParagraph"/>
              <w:numPr>
                <w:ilvl w:val="0"/>
                <w:numId w:val="1"/>
              </w:numPr>
              <w:jc w:val="both"/>
              <w:rPr>
                <w:rFonts w:ascii="Arial" w:hAnsi="Arial" w:cs="Arial"/>
              </w:rPr>
            </w:pPr>
            <w:r>
              <w:rPr>
                <w:rFonts w:ascii="Arial" w:hAnsi="Arial" w:cs="Arial"/>
              </w:rPr>
              <w:t>Cease</w:t>
            </w:r>
            <w:r w:rsidR="009E4945">
              <w:rPr>
                <w:rFonts w:ascii="Arial" w:hAnsi="Arial" w:cs="Arial"/>
              </w:rPr>
              <w:t xml:space="preserve"> </w:t>
            </w:r>
            <w:r>
              <w:rPr>
                <w:rFonts w:ascii="Arial" w:hAnsi="Arial" w:cs="Arial"/>
              </w:rPr>
              <w:t>/</w:t>
            </w:r>
            <w:r w:rsidR="009E4945">
              <w:rPr>
                <w:rFonts w:ascii="Arial" w:hAnsi="Arial" w:cs="Arial"/>
              </w:rPr>
              <w:t xml:space="preserve"> d</w:t>
            </w:r>
            <w:r>
              <w:rPr>
                <w:rFonts w:ascii="Arial" w:hAnsi="Arial" w:cs="Arial"/>
              </w:rPr>
              <w:t>ecommission a service or part of a service</w:t>
            </w:r>
          </w:p>
          <w:p w:rsidR="00D35F33" w:rsidRPr="00427820" w:rsidRDefault="00D35F33" w:rsidP="00D35F33">
            <w:pPr>
              <w:jc w:val="both"/>
              <w:rPr>
                <w:rFonts w:ascii="Arial" w:hAnsi="Arial" w:cs="Arial"/>
              </w:rPr>
            </w:pPr>
          </w:p>
        </w:tc>
      </w:tr>
      <w:tr w:rsidR="00D35F33" w:rsidRPr="004231B6">
        <w:tc>
          <w:tcPr>
            <w:tcW w:w="642" w:type="dxa"/>
            <w:tcBorders>
              <w:top w:val="nil"/>
              <w:left w:val="nil"/>
              <w:bottom w:val="nil"/>
              <w:right w:val="nil"/>
            </w:tcBorders>
          </w:tcPr>
          <w:p w:rsidR="00D35F33" w:rsidRPr="004231B6" w:rsidRDefault="00D35F33" w:rsidP="0051083D">
            <w:pPr>
              <w:jc w:val="both"/>
              <w:rPr>
                <w:rFonts w:ascii="Arial" w:hAnsi="Arial" w:cs="Arial"/>
              </w:rPr>
            </w:pPr>
          </w:p>
        </w:tc>
        <w:tc>
          <w:tcPr>
            <w:tcW w:w="805" w:type="dxa"/>
            <w:tcBorders>
              <w:top w:val="nil"/>
              <w:left w:val="nil"/>
              <w:bottom w:val="nil"/>
              <w:right w:val="nil"/>
            </w:tcBorders>
          </w:tcPr>
          <w:p w:rsidR="00D35F33" w:rsidRDefault="00D35F33" w:rsidP="0051083D">
            <w:pPr>
              <w:jc w:val="both"/>
              <w:rPr>
                <w:rFonts w:ascii="Arial" w:hAnsi="Arial" w:cs="Arial"/>
              </w:rPr>
            </w:pPr>
            <w:r>
              <w:rPr>
                <w:rFonts w:ascii="Arial" w:hAnsi="Arial" w:cs="Arial"/>
              </w:rPr>
              <w:t>1.3</w:t>
            </w:r>
          </w:p>
        </w:tc>
        <w:tc>
          <w:tcPr>
            <w:tcW w:w="7795" w:type="dxa"/>
            <w:gridSpan w:val="2"/>
            <w:tcBorders>
              <w:top w:val="nil"/>
              <w:left w:val="nil"/>
              <w:bottom w:val="nil"/>
              <w:right w:val="nil"/>
            </w:tcBorders>
          </w:tcPr>
          <w:p w:rsidR="00D35F33" w:rsidRPr="00D35F33" w:rsidRDefault="00D35F33" w:rsidP="00D35F33">
            <w:pPr>
              <w:jc w:val="both"/>
              <w:rPr>
                <w:rFonts w:ascii="Arial" w:hAnsi="Arial" w:cs="Arial"/>
              </w:rPr>
            </w:pPr>
            <w:r w:rsidRPr="00D35F33">
              <w:rPr>
                <w:rFonts w:ascii="Arial" w:hAnsi="Arial" w:cs="Arial"/>
              </w:rPr>
              <w:t>In line with best practice the CCG has identified the need to describe</w:t>
            </w:r>
            <w:r w:rsidR="005C5C74">
              <w:rPr>
                <w:rFonts w:ascii="Arial" w:hAnsi="Arial" w:cs="Arial"/>
              </w:rPr>
              <w:t>:</w:t>
            </w:r>
          </w:p>
          <w:p w:rsidR="00D35F33" w:rsidRDefault="00D35F33" w:rsidP="00EA08AA">
            <w:pPr>
              <w:pStyle w:val="ListParagraph"/>
              <w:numPr>
                <w:ilvl w:val="0"/>
                <w:numId w:val="2"/>
              </w:numPr>
              <w:jc w:val="both"/>
              <w:rPr>
                <w:rFonts w:ascii="Arial" w:hAnsi="Arial" w:cs="Arial"/>
              </w:rPr>
            </w:pPr>
            <w:r w:rsidRPr="00D35F33">
              <w:rPr>
                <w:rFonts w:ascii="Arial" w:hAnsi="Arial" w:cs="Arial"/>
              </w:rPr>
              <w:t>The approaches that will be used to identify services that require review;</w:t>
            </w:r>
          </w:p>
          <w:p w:rsidR="00D35F33" w:rsidRDefault="00D35F33" w:rsidP="00EA08AA">
            <w:pPr>
              <w:pStyle w:val="ListParagraph"/>
              <w:numPr>
                <w:ilvl w:val="0"/>
                <w:numId w:val="2"/>
              </w:numPr>
              <w:jc w:val="both"/>
              <w:rPr>
                <w:rFonts w:ascii="Arial" w:hAnsi="Arial" w:cs="Arial"/>
              </w:rPr>
            </w:pPr>
            <w:r w:rsidRPr="00D35F33">
              <w:rPr>
                <w:rFonts w:ascii="Arial" w:hAnsi="Arial" w:cs="Arial"/>
              </w:rPr>
              <w:t>How the ‘Case for Change’ will be produced and</w:t>
            </w:r>
          </w:p>
          <w:p w:rsidR="00D35F33" w:rsidRDefault="00504BDD" w:rsidP="00EA08AA">
            <w:pPr>
              <w:pStyle w:val="ListParagraph"/>
              <w:numPr>
                <w:ilvl w:val="0"/>
                <w:numId w:val="2"/>
              </w:numPr>
              <w:jc w:val="both"/>
              <w:rPr>
                <w:rFonts w:ascii="Arial" w:hAnsi="Arial" w:cs="Arial"/>
              </w:rPr>
            </w:pPr>
            <w:r>
              <w:rPr>
                <w:rFonts w:ascii="Arial" w:hAnsi="Arial" w:cs="Arial"/>
              </w:rPr>
              <w:t xml:space="preserve">How </w:t>
            </w:r>
            <w:r w:rsidR="00D35F33" w:rsidRPr="00D35F33">
              <w:rPr>
                <w:rFonts w:ascii="Arial" w:hAnsi="Arial" w:cs="Arial"/>
              </w:rPr>
              <w:t>commissioning decisions will be engaged upon.</w:t>
            </w:r>
          </w:p>
          <w:p w:rsidR="00D35F33" w:rsidRPr="00D35F33" w:rsidRDefault="00D35F33" w:rsidP="00D35F33">
            <w:pPr>
              <w:pStyle w:val="ListParagraph"/>
              <w:jc w:val="both"/>
              <w:rPr>
                <w:rFonts w:ascii="Arial" w:hAnsi="Arial" w:cs="Arial"/>
              </w:rPr>
            </w:pPr>
          </w:p>
        </w:tc>
      </w:tr>
      <w:tr w:rsidR="00427820" w:rsidRPr="004231B6" w:rsidTr="00EE70D4">
        <w:tc>
          <w:tcPr>
            <w:tcW w:w="642" w:type="dxa"/>
            <w:tcBorders>
              <w:top w:val="nil"/>
              <w:left w:val="nil"/>
              <w:bottom w:val="nil"/>
              <w:right w:val="nil"/>
            </w:tcBorders>
          </w:tcPr>
          <w:p w:rsidR="00427820" w:rsidRPr="004231B6" w:rsidRDefault="00CA34FD" w:rsidP="00EE70D4">
            <w:pPr>
              <w:jc w:val="both"/>
              <w:rPr>
                <w:rFonts w:ascii="Arial" w:hAnsi="Arial" w:cs="Arial"/>
                <w:b/>
              </w:rPr>
            </w:pPr>
            <w:r>
              <w:rPr>
                <w:rFonts w:ascii="Arial" w:hAnsi="Arial" w:cs="Arial"/>
                <w:b/>
              </w:rPr>
              <w:t>2</w:t>
            </w:r>
            <w:r w:rsidR="00427820" w:rsidRPr="004231B6">
              <w:rPr>
                <w:rFonts w:ascii="Arial" w:hAnsi="Arial" w:cs="Arial"/>
                <w:b/>
              </w:rPr>
              <w:t>.</w:t>
            </w:r>
          </w:p>
        </w:tc>
        <w:tc>
          <w:tcPr>
            <w:tcW w:w="8600" w:type="dxa"/>
            <w:gridSpan w:val="3"/>
            <w:tcBorders>
              <w:top w:val="nil"/>
              <w:left w:val="nil"/>
              <w:bottom w:val="nil"/>
              <w:right w:val="nil"/>
            </w:tcBorders>
          </w:tcPr>
          <w:p w:rsidR="00427820" w:rsidRPr="004231B6" w:rsidRDefault="00427820" w:rsidP="00EE70D4">
            <w:pPr>
              <w:jc w:val="both"/>
              <w:rPr>
                <w:rFonts w:ascii="Arial" w:hAnsi="Arial" w:cs="Arial"/>
                <w:b/>
              </w:rPr>
            </w:pPr>
            <w:r w:rsidRPr="004231B6">
              <w:rPr>
                <w:rFonts w:ascii="Arial" w:hAnsi="Arial" w:cs="Arial"/>
                <w:b/>
              </w:rPr>
              <w:t>Purpose</w:t>
            </w:r>
          </w:p>
          <w:p w:rsidR="00427820" w:rsidRPr="004231B6" w:rsidRDefault="00427820" w:rsidP="00EE70D4">
            <w:pPr>
              <w:jc w:val="both"/>
              <w:rPr>
                <w:rFonts w:ascii="Arial" w:hAnsi="Arial" w:cs="Arial"/>
                <w:b/>
              </w:rPr>
            </w:pPr>
          </w:p>
        </w:tc>
      </w:tr>
      <w:tr w:rsidR="00D35F33" w:rsidRPr="004231B6">
        <w:tc>
          <w:tcPr>
            <w:tcW w:w="642" w:type="dxa"/>
            <w:tcBorders>
              <w:top w:val="nil"/>
              <w:left w:val="nil"/>
              <w:bottom w:val="nil"/>
              <w:right w:val="nil"/>
            </w:tcBorders>
          </w:tcPr>
          <w:p w:rsidR="00D35F33" w:rsidRPr="004231B6" w:rsidRDefault="00D35F33" w:rsidP="0051083D">
            <w:pPr>
              <w:jc w:val="both"/>
              <w:rPr>
                <w:rFonts w:ascii="Arial" w:hAnsi="Arial" w:cs="Arial"/>
              </w:rPr>
            </w:pPr>
          </w:p>
        </w:tc>
        <w:tc>
          <w:tcPr>
            <w:tcW w:w="805" w:type="dxa"/>
            <w:tcBorders>
              <w:top w:val="nil"/>
              <w:left w:val="nil"/>
              <w:bottom w:val="nil"/>
              <w:right w:val="nil"/>
            </w:tcBorders>
          </w:tcPr>
          <w:p w:rsidR="00D35F33" w:rsidRDefault="00D35F33" w:rsidP="0051083D">
            <w:pPr>
              <w:jc w:val="both"/>
              <w:rPr>
                <w:rFonts w:ascii="Arial" w:hAnsi="Arial" w:cs="Arial"/>
              </w:rPr>
            </w:pPr>
            <w:r>
              <w:rPr>
                <w:rFonts w:ascii="Arial" w:hAnsi="Arial" w:cs="Arial"/>
              </w:rPr>
              <w:t>2.1</w:t>
            </w:r>
          </w:p>
        </w:tc>
        <w:tc>
          <w:tcPr>
            <w:tcW w:w="7795" w:type="dxa"/>
            <w:gridSpan w:val="2"/>
            <w:tcBorders>
              <w:top w:val="nil"/>
              <w:left w:val="nil"/>
              <w:bottom w:val="nil"/>
              <w:right w:val="nil"/>
            </w:tcBorders>
          </w:tcPr>
          <w:p w:rsidR="00D35F33" w:rsidRDefault="00D35F33" w:rsidP="00D35F33">
            <w:pPr>
              <w:jc w:val="both"/>
              <w:rPr>
                <w:rFonts w:ascii="Arial" w:hAnsi="Arial" w:cs="Arial"/>
              </w:rPr>
            </w:pPr>
            <w:r>
              <w:rPr>
                <w:rFonts w:ascii="Arial" w:hAnsi="Arial" w:cs="Arial"/>
              </w:rPr>
              <w:t>The aim of this policy is to:</w:t>
            </w:r>
          </w:p>
          <w:p w:rsidR="00D35F33" w:rsidRPr="00D35F33" w:rsidRDefault="00D35F33" w:rsidP="00D35F33">
            <w:pPr>
              <w:jc w:val="both"/>
              <w:rPr>
                <w:rFonts w:ascii="Arial" w:hAnsi="Arial" w:cs="Arial"/>
              </w:rPr>
            </w:pPr>
          </w:p>
          <w:p w:rsidR="00D35F33" w:rsidRDefault="00D35F33" w:rsidP="00EA08AA">
            <w:pPr>
              <w:pStyle w:val="ListParagraph"/>
              <w:numPr>
                <w:ilvl w:val="0"/>
                <w:numId w:val="4"/>
              </w:numPr>
              <w:jc w:val="both"/>
              <w:rPr>
                <w:rFonts w:ascii="Arial" w:hAnsi="Arial" w:cs="Arial"/>
              </w:rPr>
            </w:pPr>
            <w:r w:rsidRPr="00D35F33">
              <w:rPr>
                <w:rFonts w:ascii="Arial" w:hAnsi="Arial" w:cs="Arial"/>
              </w:rPr>
              <w:t xml:space="preserve">Provide a rationale and process to allow services to be identified for review prior to any decision to decommission </w:t>
            </w:r>
            <w:r w:rsidR="008B416D">
              <w:rPr>
                <w:rFonts w:ascii="Arial" w:hAnsi="Arial" w:cs="Arial"/>
              </w:rPr>
              <w:t>all or part of a service</w:t>
            </w:r>
            <w:r w:rsidRPr="00D35F33">
              <w:rPr>
                <w:rFonts w:ascii="Arial" w:hAnsi="Arial" w:cs="Arial"/>
              </w:rPr>
              <w:t>.</w:t>
            </w:r>
          </w:p>
          <w:p w:rsidR="00D35F33" w:rsidRDefault="00D35F33" w:rsidP="00EA08AA">
            <w:pPr>
              <w:pStyle w:val="ListParagraph"/>
              <w:numPr>
                <w:ilvl w:val="0"/>
                <w:numId w:val="4"/>
              </w:numPr>
              <w:jc w:val="both"/>
              <w:rPr>
                <w:rFonts w:ascii="Arial" w:hAnsi="Arial" w:cs="Arial"/>
              </w:rPr>
            </w:pPr>
            <w:r w:rsidRPr="00D35F33">
              <w:rPr>
                <w:rFonts w:ascii="Arial" w:hAnsi="Arial" w:cs="Arial"/>
              </w:rPr>
              <w:t>Deliver best value for money by ensuring that local health care resources are directed to the most effective services for the local population.</w:t>
            </w:r>
          </w:p>
          <w:p w:rsidR="00D35F33" w:rsidRDefault="00D35F33" w:rsidP="00EA08AA">
            <w:pPr>
              <w:pStyle w:val="ListParagraph"/>
              <w:numPr>
                <w:ilvl w:val="0"/>
                <w:numId w:val="4"/>
              </w:numPr>
              <w:jc w:val="both"/>
              <w:rPr>
                <w:rFonts w:ascii="Arial" w:hAnsi="Arial" w:cs="Arial"/>
              </w:rPr>
            </w:pPr>
            <w:r w:rsidRPr="00D35F33">
              <w:rPr>
                <w:rFonts w:ascii="Arial" w:hAnsi="Arial" w:cs="Arial"/>
              </w:rPr>
              <w:t>Ensure all commissioned services are monitored in terms of performance, health outcomes, efficiency, demand management and fitness for purpose to allow for a robust decision to be made regarding t</w:t>
            </w:r>
            <w:r>
              <w:rPr>
                <w:rFonts w:ascii="Arial" w:hAnsi="Arial" w:cs="Arial"/>
              </w:rPr>
              <w:t>he continuation of that service</w:t>
            </w:r>
          </w:p>
          <w:p w:rsidR="00D35F33" w:rsidRDefault="00D35F33" w:rsidP="00EA08AA">
            <w:pPr>
              <w:pStyle w:val="ListParagraph"/>
              <w:numPr>
                <w:ilvl w:val="0"/>
                <w:numId w:val="4"/>
              </w:numPr>
              <w:jc w:val="both"/>
              <w:rPr>
                <w:rFonts w:ascii="Arial" w:hAnsi="Arial" w:cs="Arial"/>
              </w:rPr>
            </w:pPr>
            <w:r w:rsidRPr="00D35F33">
              <w:rPr>
                <w:rFonts w:ascii="Arial" w:hAnsi="Arial" w:cs="Arial"/>
              </w:rPr>
              <w:t>Contribute to the delivery of the CCG’s commissioning plan</w:t>
            </w:r>
            <w:r w:rsidR="00164DD8">
              <w:rPr>
                <w:rFonts w:ascii="Arial" w:hAnsi="Arial" w:cs="Arial"/>
              </w:rPr>
              <w:t>s</w:t>
            </w:r>
            <w:r w:rsidRPr="00D35F33">
              <w:rPr>
                <w:rFonts w:ascii="Arial" w:hAnsi="Arial" w:cs="Arial"/>
              </w:rPr>
              <w:t xml:space="preserve"> and QIPP (Quality, Innovation, Productivity and Prevention) agenda, to ensure that resources are directed to the highest priority area in order to achieve the best possible health outcomes for the local population against available resources.</w:t>
            </w:r>
          </w:p>
          <w:p w:rsidR="00D35F33" w:rsidRDefault="00D35F33" w:rsidP="00EA08AA">
            <w:pPr>
              <w:pStyle w:val="ListParagraph"/>
              <w:numPr>
                <w:ilvl w:val="0"/>
                <w:numId w:val="4"/>
              </w:numPr>
              <w:jc w:val="both"/>
              <w:rPr>
                <w:rFonts w:ascii="Arial" w:hAnsi="Arial" w:cs="Arial"/>
              </w:rPr>
            </w:pPr>
            <w:r w:rsidRPr="00D35F33">
              <w:rPr>
                <w:rFonts w:ascii="Arial" w:hAnsi="Arial" w:cs="Arial"/>
              </w:rPr>
              <w:t>Ensure all decommissioning decisions are taken in a fully informed manner and follow a set procedure a</w:t>
            </w:r>
            <w:r>
              <w:rPr>
                <w:rFonts w:ascii="Arial" w:hAnsi="Arial" w:cs="Arial"/>
              </w:rPr>
              <w:t>greed by the CCG Governing Body</w:t>
            </w:r>
          </w:p>
          <w:p w:rsidR="00D35F33" w:rsidRDefault="00D35F33" w:rsidP="00EA08AA">
            <w:pPr>
              <w:pStyle w:val="ListParagraph"/>
              <w:numPr>
                <w:ilvl w:val="0"/>
                <w:numId w:val="4"/>
              </w:numPr>
              <w:jc w:val="both"/>
              <w:rPr>
                <w:rFonts w:ascii="Arial" w:hAnsi="Arial" w:cs="Arial"/>
              </w:rPr>
            </w:pPr>
            <w:r w:rsidRPr="00D35F33">
              <w:rPr>
                <w:rFonts w:ascii="Arial" w:hAnsi="Arial" w:cs="Arial"/>
              </w:rPr>
              <w:t>Ensure the safety of patient remains paramount.</w:t>
            </w:r>
          </w:p>
          <w:p w:rsidR="00D35F33" w:rsidRDefault="00D35F33" w:rsidP="00D35F33">
            <w:pPr>
              <w:pStyle w:val="ListParagraph"/>
              <w:jc w:val="both"/>
              <w:rPr>
                <w:rFonts w:ascii="Arial" w:hAnsi="Arial" w:cs="Arial"/>
              </w:rPr>
            </w:pPr>
          </w:p>
          <w:p w:rsidR="009E4945" w:rsidRDefault="009E4945" w:rsidP="00D35F33">
            <w:pPr>
              <w:pStyle w:val="ListParagraph"/>
              <w:jc w:val="both"/>
              <w:rPr>
                <w:rFonts w:ascii="Arial" w:hAnsi="Arial" w:cs="Arial"/>
              </w:rPr>
            </w:pPr>
          </w:p>
          <w:p w:rsidR="009E4945" w:rsidRPr="00D35F33" w:rsidRDefault="009E4945" w:rsidP="00D35F33">
            <w:pPr>
              <w:pStyle w:val="ListParagraph"/>
              <w:jc w:val="both"/>
              <w:rPr>
                <w:rFonts w:ascii="Arial" w:hAnsi="Arial" w:cs="Arial"/>
              </w:rPr>
            </w:pPr>
          </w:p>
        </w:tc>
      </w:tr>
      <w:tr w:rsidR="003E5D0E" w:rsidRPr="003E5D0E">
        <w:tc>
          <w:tcPr>
            <w:tcW w:w="642" w:type="dxa"/>
            <w:tcBorders>
              <w:top w:val="nil"/>
              <w:left w:val="nil"/>
              <w:bottom w:val="nil"/>
              <w:right w:val="nil"/>
            </w:tcBorders>
          </w:tcPr>
          <w:p w:rsidR="008A50B0" w:rsidRPr="003E5D0E" w:rsidRDefault="00D35F33" w:rsidP="00CC51F8">
            <w:pPr>
              <w:jc w:val="both"/>
              <w:rPr>
                <w:rFonts w:ascii="Arial" w:hAnsi="Arial" w:cs="Arial"/>
                <w:b/>
              </w:rPr>
            </w:pPr>
            <w:r w:rsidRPr="003E5D0E">
              <w:rPr>
                <w:rFonts w:ascii="Arial" w:hAnsi="Arial" w:cs="Arial"/>
                <w:b/>
              </w:rPr>
              <w:lastRenderedPageBreak/>
              <w:t>3</w:t>
            </w:r>
            <w:r w:rsidR="008A50B0" w:rsidRPr="003E5D0E">
              <w:rPr>
                <w:rFonts w:ascii="Arial" w:hAnsi="Arial" w:cs="Arial"/>
                <w:b/>
              </w:rPr>
              <w:t>.</w:t>
            </w:r>
          </w:p>
        </w:tc>
        <w:tc>
          <w:tcPr>
            <w:tcW w:w="8600" w:type="dxa"/>
            <w:gridSpan w:val="3"/>
            <w:tcBorders>
              <w:top w:val="nil"/>
              <w:left w:val="nil"/>
              <w:bottom w:val="nil"/>
              <w:right w:val="nil"/>
            </w:tcBorders>
          </w:tcPr>
          <w:p w:rsidR="008A50B0" w:rsidRPr="003E5D0E" w:rsidRDefault="008A50B0" w:rsidP="00CC51F8">
            <w:pPr>
              <w:jc w:val="both"/>
              <w:rPr>
                <w:rFonts w:ascii="Arial" w:hAnsi="Arial" w:cs="Arial"/>
                <w:b/>
              </w:rPr>
            </w:pPr>
            <w:r w:rsidRPr="003E5D0E">
              <w:rPr>
                <w:rFonts w:ascii="Arial" w:hAnsi="Arial" w:cs="Arial"/>
                <w:b/>
              </w:rPr>
              <w:t>The Risks of not having this Policy in place</w:t>
            </w:r>
          </w:p>
          <w:p w:rsidR="00943720" w:rsidRPr="003E5D0E" w:rsidRDefault="00943720" w:rsidP="00CC51F8">
            <w:pPr>
              <w:jc w:val="both"/>
              <w:rPr>
                <w:rFonts w:ascii="Arial" w:hAnsi="Arial" w:cs="Arial"/>
                <w:b/>
              </w:rPr>
            </w:pPr>
          </w:p>
        </w:tc>
      </w:tr>
      <w:tr w:rsidR="003E5D0E" w:rsidRPr="003E5D0E">
        <w:tc>
          <w:tcPr>
            <w:tcW w:w="642" w:type="dxa"/>
            <w:tcBorders>
              <w:top w:val="nil"/>
              <w:left w:val="nil"/>
              <w:bottom w:val="nil"/>
              <w:right w:val="nil"/>
            </w:tcBorders>
          </w:tcPr>
          <w:p w:rsidR="008A50B0" w:rsidRPr="003E5D0E" w:rsidRDefault="008A50B0" w:rsidP="0051083D">
            <w:pPr>
              <w:jc w:val="both"/>
              <w:rPr>
                <w:rFonts w:ascii="Arial" w:hAnsi="Arial" w:cs="Arial"/>
                <w:b/>
              </w:rPr>
            </w:pPr>
          </w:p>
        </w:tc>
        <w:tc>
          <w:tcPr>
            <w:tcW w:w="805" w:type="dxa"/>
            <w:tcBorders>
              <w:top w:val="nil"/>
              <w:left w:val="nil"/>
              <w:bottom w:val="nil"/>
              <w:right w:val="nil"/>
            </w:tcBorders>
          </w:tcPr>
          <w:p w:rsidR="008A50B0" w:rsidRPr="003E5D0E" w:rsidRDefault="003E5D0E" w:rsidP="0051083D">
            <w:pPr>
              <w:jc w:val="both"/>
              <w:rPr>
                <w:rFonts w:ascii="Arial" w:hAnsi="Arial" w:cs="Arial"/>
              </w:rPr>
            </w:pPr>
            <w:r>
              <w:rPr>
                <w:rFonts w:ascii="Arial" w:hAnsi="Arial" w:cs="Arial"/>
              </w:rPr>
              <w:t>3</w:t>
            </w:r>
            <w:r w:rsidR="008A50B0" w:rsidRPr="003E5D0E">
              <w:rPr>
                <w:rFonts w:ascii="Arial" w:hAnsi="Arial" w:cs="Arial"/>
              </w:rPr>
              <w:t>.1</w:t>
            </w:r>
          </w:p>
        </w:tc>
        <w:tc>
          <w:tcPr>
            <w:tcW w:w="7795" w:type="dxa"/>
            <w:gridSpan w:val="2"/>
            <w:tcBorders>
              <w:top w:val="nil"/>
              <w:left w:val="nil"/>
              <w:bottom w:val="nil"/>
              <w:right w:val="nil"/>
            </w:tcBorders>
          </w:tcPr>
          <w:p w:rsidR="008A50B0" w:rsidRDefault="003E5D0E" w:rsidP="0051083D">
            <w:pPr>
              <w:jc w:val="both"/>
              <w:rPr>
                <w:rFonts w:ascii="Arial" w:hAnsi="Arial" w:cs="Arial"/>
              </w:rPr>
            </w:pPr>
            <w:r>
              <w:rPr>
                <w:rFonts w:ascii="Arial" w:hAnsi="Arial" w:cs="Arial"/>
              </w:rPr>
              <w:t>In the absence of this policy there is a risk that</w:t>
            </w:r>
            <w:r w:rsidR="008A50B0" w:rsidRPr="003E5D0E">
              <w:rPr>
                <w:rFonts w:ascii="Arial" w:hAnsi="Arial" w:cs="Arial"/>
              </w:rPr>
              <w:t>:</w:t>
            </w:r>
          </w:p>
          <w:p w:rsidR="003E5D0E" w:rsidRDefault="003E5D0E" w:rsidP="0051083D">
            <w:pPr>
              <w:jc w:val="both"/>
              <w:rPr>
                <w:rFonts w:ascii="Arial" w:hAnsi="Arial" w:cs="Arial"/>
              </w:rPr>
            </w:pPr>
          </w:p>
          <w:p w:rsidR="003E5D0E" w:rsidRDefault="003E5D0E" w:rsidP="00EA08AA">
            <w:pPr>
              <w:pStyle w:val="ListParagraph"/>
              <w:numPr>
                <w:ilvl w:val="0"/>
                <w:numId w:val="6"/>
              </w:numPr>
              <w:jc w:val="both"/>
              <w:rPr>
                <w:rFonts w:ascii="Arial" w:hAnsi="Arial" w:cs="Arial"/>
              </w:rPr>
            </w:pPr>
            <w:r>
              <w:rPr>
                <w:rFonts w:ascii="Arial" w:hAnsi="Arial" w:cs="Arial"/>
              </w:rPr>
              <w:t>The CCG’s resources may not be directed to areas of highest priority and greatest effectiveness</w:t>
            </w:r>
          </w:p>
          <w:p w:rsidR="003E5D0E" w:rsidRDefault="003E5D0E" w:rsidP="00EA08AA">
            <w:pPr>
              <w:pStyle w:val="ListParagraph"/>
              <w:numPr>
                <w:ilvl w:val="0"/>
                <w:numId w:val="6"/>
              </w:numPr>
              <w:jc w:val="both"/>
              <w:rPr>
                <w:rFonts w:ascii="Arial" w:hAnsi="Arial" w:cs="Arial"/>
              </w:rPr>
            </w:pPr>
            <w:r>
              <w:rPr>
                <w:rFonts w:ascii="Arial" w:hAnsi="Arial" w:cs="Arial"/>
              </w:rPr>
              <w:t>Decommissioning decisions could be taken without due process being followed, increasing the risk</w:t>
            </w:r>
            <w:r w:rsidR="0022049D">
              <w:rPr>
                <w:rFonts w:ascii="Arial" w:hAnsi="Arial" w:cs="Arial"/>
              </w:rPr>
              <w:t xml:space="preserve"> to patient safety </w:t>
            </w:r>
            <w:r w:rsidR="004B263B">
              <w:rPr>
                <w:rFonts w:ascii="Arial" w:hAnsi="Arial" w:cs="Arial"/>
              </w:rPr>
              <w:t xml:space="preserve">and / </w:t>
            </w:r>
            <w:r w:rsidR="0022049D">
              <w:rPr>
                <w:rFonts w:ascii="Arial" w:hAnsi="Arial" w:cs="Arial"/>
              </w:rPr>
              <w:t>or</w:t>
            </w:r>
            <w:r>
              <w:rPr>
                <w:rFonts w:ascii="Arial" w:hAnsi="Arial" w:cs="Arial"/>
              </w:rPr>
              <w:t xml:space="preserve"> of challenge</w:t>
            </w:r>
          </w:p>
          <w:p w:rsidR="003E5D0E" w:rsidRPr="003E5D0E" w:rsidRDefault="003E5D0E" w:rsidP="00EA08AA">
            <w:pPr>
              <w:pStyle w:val="ListParagraph"/>
              <w:numPr>
                <w:ilvl w:val="0"/>
                <w:numId w:val="6"/>
              </w:numPr>
              <w:jc w:val="both"/>
              <w:rPr>
                <w:rFonts w:ascii="Arial" w:hAnsi="Arial" w:cs="Arial"/>
              </w:rPr>
            </w:pPr>
            <w:r>
              <w:rPr>
                <w:rFonts w:ascii="Arial" w:hAnsi="Arial" w:cs="Arial"/>
              </w:rPr>
              <w:t>Decommissioning decisions could be taken on the basis or incomplete or inaccurate information.</w:t>
            </w:r>
          </w:p>
          <w:p w:rsidR="008A50B0" w:rsidRPr="003E5D0E" w:rsidRDefault="008A50B0" w:rsidP="0051083D">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D35F33" w:rsidP="00CC51F8">
            <w:pPr>
              <w:jc w:val="both"/>
              <w:rPr>
                <w:rFonts w:ascii="Arial" w:hAnsi="Arial" w:cs="Arial"/>
                <w:b/>
              </w:rPr>
            </w:pPr>
            <w:r>
              <w:rPr>
                <w:rFonts w:ascii="Arial" w:hAnsi="Arial" w:cs="Arial"/>
                <w:b/>
              </w:rPr>
              <w:t>4</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CC51F8">
            <w:pPr>
              <w:jc w:val="both"/>
              <w:rPr>
                <w:rFonts w:ascii="Arial" w:hAnsi="Arial" w:cs="Arial"/>
                <w:b/>
              </w:rPr>
            </w:pPr>
            <w:r w:rsidRPr="004231B6">
              <w:rPr>
                <w:rFonts w:ascii="Arial" w:hAnsi="Arial" w:cs="Arial"/>
                <w:b/>
              </w:rPr>
              <w:t>Definitions</w:t>
            </w:r>
          </w:p>
          <w:p w:rsidR="008A50B0" w:rsidRPr="004231B6" w:rsidRDefault="008A50B0" w:rsidP="00CC51F8">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b/>
              </w:rPr>
            </w:pPr>
          </w:p>
        </w:tc>
        <w:tc>
          <w:tcPr>
            <w:tcW w:w="805" w:type="dxa"/>
            <w:tcBorders>
              <w:top w:val="nil"/>
              <w:left w:val="nil"/>
              <w:bottom w:val="nil"/>
              <w:right w:val="nil"/>
            </w:tcBorders>
          </w:tcPr>
          <w:p w:rsidR="008A50B0" w:rsidRPr="004231B6" w:rsidRDefault="00D35F33" w:rsidP="00CA7398">
            <w:pPr>
              <w:jc w:val="both"/>
              <w:rPr>
                <w:rFonts w:ascii="Arial" w:hAnsi="Arial" w:cs="Arial"/>
              </w:rPr>
            </w:pPr>
            <w:r>
              <w:rPr>
                <w:rFonts w:ascii="Arial" w:hAnsi="Arial" w:cs="Arial"/>
              </w:rPr>
              <w:t>4</w:t>
            </w:r>
            <w:r w:rsidR="008A50B0" w:rsidRPr="004231B6">
              <w:rPr>
                <w:rFonts w:ascii="Arial" w:hAnsi="Arial" w:cs="Arial"/>
              </w:rPr>
              <w:t>.1</w:t>
            </w:r>
          </w:p>
        </w:tc>
        <w:tc>
          <w:tcPr>
            <w:tcW w:w="7795" w:type="dxa"/>
            <w:gridSpan w:val="2"/>
            <w:tcBorders>
              <w:top w:val="nil"/>
              <w:left w:val="nil"/>
              <w:bottom w:val="nil"/>
              <w:right w:val="nil"/>
            </w:tcBorders>
          </w:tcPr>
          <w:p w:rsidR="00D35F33" w:rsidRDefault="00D35F33" w:rsidP="00D35F33">
            <w:pPr>
              <w:jc w:val="both"/>
              <w:rPr>
                <w:rFonts w:ascii="Arial" w:hAnsi="Arial" w:cs="Arial"/>
              </w:rPr>
            </w:pPr>
            <w:r w:rsidRPr="00D35F33">
              <w:rPr>
                <w:rFonts w:ascii="Arial" w:hAnsi="Arial" w:cs="Arial"/>
              </w:rPr>
              <w:t>For the purpose of this policy</w:t>
            </w:r>
            <w:r w:rsidR="009E4945">
              <w:rPr>
                <w:rFonts w:ascii="Arial" w:hAnsi="Arial" w:cs="Arial"/>
              </w:rPr>
              <w:t xml:space="preserve"> decommissioning is defined as</w:t>
            </w:r>
            <w:r w:rsidRPr="00D35F33">
              <w:rPr>
                <w:rFonts w:ascii="Arial" w:hAnsi="Arial" w:cs="Arial"/>
              </w:rPr>
              <w:t>:</w:t>
            </w:r>
          </w:p>
          <w:p w:rsidR="00D3444C" w:rsidRPr="00D35F33" w:rsidRDefault="00D3444C" w:rsidP="00D35F33">
            <w:pPr>
              <w:jc w:val="both"/>
              <w:rPr>
                <w:rFonts w:ascii="Arial" w:hAnsi="Arial" w:cs="Arial"/>
              </w:rPr>
            </w:pPr>
          </w:p>
          <w:p w:rsidR="00D35F33" w:rsidRDefault="009E4945" w:rsidP="00EA08AA">
            <w:pPr>
              <w:pStyle w:val="ListParagraph"/>
              <w:numPr>
                <w:ilvl w:val="0"/>
                <w:numId w:val="5"/>
              </w:numPr>
              <w:jc w:val="both"/>
              <w:rPr>
                <w:rFonts w:ascii="Arial" w:hAnsi="Arial" w:cs="Arial"/>
              </w:rPr>
            </w:pPr>
            <w:r>
              <w:rPr>
                <w:rFonts w:ascii="Arial" w:hAnsi="Arial" w:cs="Arial"/>
              </w:rPr>
              <w:t>T</w:t>
            </w:r>
            <w:r w:rsidR="00D35F33" w:rsidRPr="00D35F33">
              <w:rPr>
                <w:rFonts w:ascii="Arial" w:hAnsi="Arial" w:cs="Arial"/>
              </w:rPr>
              <w:t xml:space="preserve">he withdrawal of funding from a provider organisation </w:t>
            </w:r>
            <w:r w:rsidR="008B416D">
              <w:rPr>
                <w:rFonts w:ascii="Arial" w:hAnsi="Arial" w:cs="Arial"/>
              </w:rPr>
              <w:t xml:space="preserve">for a service </w:t>
            </w:r>
            <w:r w:rsidR="00D35F33" w:rsidRPr="00D35F33">
              <w:rPr>
                <w:rFonts w:ascii="Arial" w:hAnsi="Arial" w:cs="Arial"/>
              </w:rPr>
              <w:t>that is subsequently re-commissioned in a different format</w:t>
            </w:r>
            <w:r w:rsidR="008B416D">
              <w:rPr>
                <w:rFonts w:ascii="Arial" w:hAnsi="Arial" w:cs="Arial"/>
              </w:rPr>
              <w:t xml:space="preserve"> or;</w:t>
            </w:r>
          </w:p>
          <w:p w:rsidR="00D35F33" w:rsidRPr="00D35F33" w:rsidRDefault="008B416D" w:rsidP="00EA08AA">
            <w:pPr>
              <w:pStyle w:val="ListParagraph"/>
              <w:numPr>
                <w:ilvl w:val="0"/>
                <w:numId w:val="5"/>
              </w:numPr>
              <w:jc w:val="both"/>
              <w:rPr>
                <w:rFonts w:ascii="Arial" w:hAnsi="Arial" w:cs="Arial"/>
              </w:rPr>
            </w:pPr>
            <w:r>
              <w:rPr>
                <w:rFonts w:ascii="Arial" w:hAnsi="Arial" w:cs="Arial"/>
              </w:rPr>
              <w:t>The</w:t>
            </w:r>
            <w:r w:rsidR="00D35F33" w:rsidRPr="00D35F33">
              <w:rPr>
                <w:rFonts w:ascii="Arial" w:hAnsi="Arial" w:cs="Arial"/>
              </w:rPr>
              <w:t xml:space="preserve"> withdrawal of funding from a provider organisation and the subsequent stopping of the </w:t>
            </w:r>
            <w:r>
              <w:rPr>
                <w:rFonts w:ascii="Arial" w:hAnsi="Arial" w:cs="Arial"/>
              </w:rPr>
              <w:t xml:space="preserve">whole or part of a </w:t>
            </w:r>
            <w:r w:rsidR="00D35F33" w:rsidRPr="00D35F33">
              <w:rPr>
                <w:rFonts w:ascii="Arial" w:hAnsi="Arial" w:cs="Arial"/>
              </w:rPr>
              <w:t>service.</w:t>
            </w:r>
          </w:p>
          <w:p w:rsidR="008A50B0" w:rsidRPr="004231B6" w:rsidRDefault="008A50B0" w:rsidP="00CA7398">
            <w:pPr>
              <w:jc w:val="both"/>
              <w:rPr>
                <w:rFonts w:ascii="Arial" w:hAnsi="Arial" w:cs="Arial"/>
              </w:rPr>
            </w:pPr>
          </w:p>
        </w:tc>
      </w:tr>
      <w:tr w:rsidR="009B216F" w:rsidRPr="004231B6" w:rsidTr="00B945F3">
        <w:tc>
          <w:tcPr>
            <w:tcW w:w="642" w:type="dxa"/>
            <w:tcBorders>
              <w:top w:val="nil"/>
              <w:left w:val="nil"/>
              <w:bottom w:val="nil"/>
              <w:right w:val="nil"/>
            </w:tcBorders>
          </w:tcPr>
          <w:p w:rsidR="009B216F" w:rsidRPr="004231B6" w:rsidRDefault="009B216F" w:rsidP="00CA7398">
            <w:pPr>
              <w:jc w:val="both"/>
              <w:rPr>
                <w:rFonts w:ascii="Arial" w:hAnsi="Arial" w:cs="Arial"/>
                <w:b/>
              </w:rPr>
            </w:pPr>
            <w:r>
              <w:rPr>
                <w:rFonts w:ascii="Arial" w:hAnsi="Arial" w:cs="Arial"/>
                <w:b/>
              </w:rPr>
              <w:t>5.</w:t>
            </w:r>
          </w:p>
        </w:tc>
        <w:tc>
          <w:tcPr>
            <w:tcW w:w="8600" w:type="dxa"/>
            <w:gridSpan w:val="3"/>
            <w:tcBorders>
              <w:top w:val="nil"/>
              <w:left w:val="nil"/>
              <w:bottom w:val="nil"/>
              <w:right w:val="nil"/>
            </w:tcBorders>
          </w:tcPr>
          <w:p w:rsidR="009B216F" w:rsidRDefault="009B216F" w:rsidP="00D35F33">
            <w:pPr>
              <w:jc w:val="both"/>
              <w:rPr>
                <w:rFonts w:ascii="Arial" w:hAnsi="Arial" w:cs="Arial"/>
                <w:b/>
              </w:rPr>
            </w:pPr>
            <w:r>
              <w:rPr>
                <w:rFonts w:ascii="Arial" w:hAnsi="Arial" w:cs="Arial"/>
                <w:b/>
              </w:rPr>
              <w:t>Equality and Diversity</w:t>
            </w:r>
          </w:p>
          <w:p w:rsidR="009B216F" w:rsidRPr="009B216F" w:rsidRDefault="009B216F" w:rsidP="00D35F33">
            <w:pPr>
              <w:jc w:val="both"/>
              <w:rPr>
                <w:rFonts w:ascii="Arial" w:hAnsi="Arial" w:cs="Arial"/>
                <w:b/>
              </w:rPr>
            </w:pPr>
          </w:p>
        </w:tc>
      </w:tr>
      <w:tr w:rsidR="009B216F" w:rsidRPr="004231B6">
        <w:tc>
          <w:tcPr>
            <w:tcW w:w="642" w:type="dxa"/>
            <w:tcBorders>
              <w:top w:val="nil"/>
              <w:left w:val="nil"/>
              <w:bottom w:val="nil"/>
              <w:right w:val="nil"/>
            </w:tcBorders>
          </w:tcPr>
          <w:p w:rsidR="009B216F" w:rsidRPr="004231B6" w:rsidRDefault="009B216F" w:rsidP="00CA7398">
            <w:pPr>
              <w:jc w:val="both"/>
              <w:rPr>
                <w:rFonts w:ascii="Arial" w:hAnsi="Arial" w:cs="Arial"/>
                <w:b/>
              </w:rPr>
            </w:pPr>
          </w:p>
        </w:tc>
        <w:tc>
          <w:tcPr>
            <w:tcW w:w="805" w:type="dxa"/>
            <w:tcBorders>
              <w:top w:val="nil"/>
              <w:left w:val="nil"/>
              <w:bottom w:val="nil"/>
              <w:right w:val="nil"/>
            </w:tcBorders>
          </w:tcPr>
          <w:p w:rsidR="009B216F" w:rsidRDefault="009B216F" w:rsidP="00CA7398">
            <w:pPr>
              <w:jc w:val="both"/>
              <w:rPr>
                <w:rFonts w:ascii="Arial" w:hAnsi="Arial" w:cs="Arial"/>
              </w:rPr>
            </w:pPr>
            <w:r>
              <w:rPr>
                <w:rFonts w:ascii="Arial" w:hAnsi="Arial" w:cs="Arial"/>
              </w:rPr>
              <w:t>5.1</w:t>
            </w:r>
          </w:p>
        </w:tc>
        <w:tc>
          <w:tcPr>
            <w:tcW w:w="7795" w:type="dxa"/>
            <w:gridSpan w:val="2"/>
            <w:tcBorders>
              <w:top w:val="nil"/>
              <w:left w:val="nil"/>
              <w:bottom w:val="nil"/>
              <w:right w:val="nil"/>
            </w:tcBorders>
          </w:tcPr>
          <w:p w:rsidR="009B216F" w:rsidRDefault="009B216F" w:rsidP="00D35F33">
            <w:pPr>
              <w:jc w:val="both"/>
              <w:rPr>
                <w:rFonts w:ascii="Arial" w:hAnsi="Arial" w:cs="Arial"/>
              </w:rPr>
            </w:pPr>
            <w:r w:rsidRPr="009B216F">
              <w:rPr>
                <w:rFonts w:ascii="Arial" w:hAnsi="Arial" w:cs="Arial"/>
              </w:rPr>
              <w:t>In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 Assessment is used for all policies and procedures.</w:t>
            </w:r>
          </w:p>
          <w:p w:rsidR="009B216F" w:rsidRPr="00D35F33" w:rsidRDefault="009B216F" w:rsidP="00D35F33">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9B216F" w:rsidP="0051083D">
            <w:pPr>
              <w:jc w:val="both"/>
              <w:rPr>
                <w:rFonts w:ascii="Arial" w:hAnsi="Arial" w:cs="Arial"/>
                <w:b/>
              </w:rPr>
            </w:pPr>
            <w:r>
              <w:rPr>
                <w:rFonts w:ascii="Arial" w:hAnsi="Arial" w:cs="Arial"/>
                <w:b/>
              </w:rPr>
              <w:t>6</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Principles</w:t>
            </w:r>
          </w:p>
          <w:p w:rsidR="008A50B0" w:rsidRPr="004231B6" w:rsidRDefault="008A50B0" w:rsidP="0051083D">
            <w:pPr>
              <w:jc w:val="both"/>
              <w:rPr>
                <w:rFonts w:ascii="Arial" w:hAnsi="Arial" w:cs="Arial"/>
                <w:b/>
              </w:rPr>
            </w:pPr>
          </w:p>
        </w:tc>
      </w:tr>
      <w:tr w:rsidR="00CA45EE" w:rsidRPr="004231B6" w:rsidTr="00EE70D4">
        <w:tc>
          <w:tcPr>
            <w:tcW w:w="642" w:type="dxa"/>
            <w:tcBorders>
              <w:top w:val="nil"/>
              <w:left w:val="nil"/>
              <w:bottom w:val="nil"/>
              <w:right w:val="nil"/>
            </w:tcBorders>
          </w:tcPr>
          <w:p w:rsidR="00CA45EE" w:rsidRPr="004231B6" w:rsidRDefault="00CA45EE" w:rsidP="00EE70D4">
            <w:pPr>
              <w:jc w:val="both"/>
              <w:rPr>
                <w:rFonts w:ascii="Arial" w:hAnsi="Arial" w:cs="Arial"/>
              </w:rPr>
            </w:pPr>
          </w:p>
        </w:tc>
        <w:tc>
          <w:tcPr>
            <w:tcW w:w="805" w:type="dxa"/>
            <w:tcBorders>
              <w:top w:val="nil"/>
              <w:left w:val="nil"/>
              <w:bottom w:val="nil"/>
              <w:right w:val="nil"/>
            </w:tcBorders>
          </w:tcPr>
          <w:p w:rsidR="00CA45EE" w:rsidRDefault="009B216F" w:rsidP="00EE70D4">
            <w:pPr>
              <w:jc w:val="both"/>
              <w:rPr>
                <w:rFonts w:ascii="Arial" w:hAnsi="Arial" w:cs="Arial"/>
              </w:rPr>
            </w:pPr>
            <w:r>
              <w:rPr>
                <w:rFonts w:ascii="Arial" w:hAnsi="Arial" w:cs="Arial"/>
              </w:rPr>
              <w:t>6</w:t>
            </w:r>
            <w:r w:rsidR="00CA45EE">
              <w:rPr>
                <w:rFonts w:ascii="Arial" w:hAnsi="Arial" w:cs="Arial"/>
              </w:rPr>
              <w:t>.1</w:t>
            </w:r>
          </w:p>
        </w:tc>
        <w:tc>
          <w:tcPr>
            <w:tcW w:w="7795" w:type="dxa"/>
            <w:gridSpan w:val="2"/>
            <w:tcBorders>
              <w:top w:val="nil"/>
              <w:left w:val="nil"/>
              <w:bottom w:val="nil"/>
              <w:right w:val="nil"/>
            </w:tcBorders>
          </w:tcPr>
          <w:p w:rsidR="00CA45EE" w:rsidRDefault="00CA45EE" w:rsidP="00EE70D4">
            <w:pPr>
              <w:jc w:val="both"/>
              <w:rPr>
                <w:rFonts w:ascii="Arial" w:hAnsi="Arial" w:cs="Arial"/>
              </w:rPr>
            </w:pPr>
            <w:r w:rsidRPr="00D35F33">
              <w:rPr>
                <w:rFonts w:ascii="Arial" w:hAnsi="Arial" w:cs="Arial"/>
              </w:rPr>
              <w:t>In the event that decommissioning is proposed, the Policy will ensure that prior to a final decision being taken by the CCG Governing Body:</w:t>
            </w:r>
          </w:p>
          <w:p w:rsidR="00CA45EE" w:rsidRDefault="00CA45EE" w:rsidP="00EE70D4">
            <w:pPr>
              <w:jc w:val="both"/>
              <w:rPr>
                <w:rFonts w:ascii="Arial" w:hAnsi="Arial" w:cs="Arial"/>
              </w:rPr>
            </w:pPr>
          </w:p>
          <w:p w:rsidR="00CA45EE" w:rsidRPr="00D35F33" w:rsidRDefault="00CA45EE" w:rsidP="00EA08AA">
            <w:pPr>
              <w:pStyle w:val="ListParagraph"/>
              <w:numPr>
                <w:ilvl w:val="0"/>
                <w:numId w:val="3"/>
              </w:numPr>
              <w:jc w:val="both"/>
              <w:rPr>
                <w:rFonts w:ascii="Arial" w:hAnsi="Arial" w:cs="Arial"/>
              </w:rPr>
            </w:pPr>
            <w:r w:rsidRPr="00D35F33">
              <w:rPr>
                <w:rFonts w:ascii="Arial" w:hAnsi="Arial" w:cs="Arial"/>
              </w:rPr>
              <w:t>Clearly defined processes are followed, with clear lines of accountability and responsibility;</w:t>
            </w:r>
          </w:p>
          <w:p w:rsidR="00CA45EE" w:rsidRPr="00D35F33" w:rsidRDefault="00CA45EE" w:rsidP="00EA08AA">
            <w:pPr>
              <w:pStyle w:val="ListParagraph"/>
              <w:numPr>
                <w:ilvl w:val="0"/>
                <w:numId w:val="3"/>
              </w:numPr>
              <w:jc w:val="both"/>
              <w:rPr>
                <w:rFonts w:ascii="Arial" w:hAnsi="Arial" w:cs="Arial"/>
              </w:rPr>
            </w:pPr>
            <w:r w:rsidRPr="00D35F33">
              <w:rPr>
                <w:rFonts w:ascii="Arial" w:hAnsi="Arial" w:cs="Arial"/>
              </w:rPr>
              <w:t xml:space="preserve">In particular, </w:t>
            </w:r>
            <w:r w:rsidR="0052410E">
              <w:rPr>
                <w:rFonts w:ascii="Arial" w:hAnsi="Arial" w:cs="Arial"/>
              </w:rPr>
              <w:t>partner organis</w:t>
            </w:r>
            <w:r w:rsidRPr="00D35F33">
              <w:rPr>
                <w:rFonts w:ascii="Arial" w:hAnsi="Arial" w:cs="Arial"/>
              </w:rPr>
              <w:t>ations, patients, and the public</w:t>
            </w:r>
            <w:r w:rsidR="0052410E">
              <w:rPr>
                <w:rFonts w:ascii="Arial" w:hAnsi="Arial" w:cs="Arial"/>
              </w:rPr>
              <w:t xml:space="preserve"> are involved as appropriate</w:t>
            </w:r>
            <w:r w:rsidRPr="00D35F33">
              <w:rPr>
                <w:rFonts w:ascii="Arial" w:hAnsi="Arial" w:cs="Arial"/>
              </w:rPr>
              <w:t>.</w:t>
            </w:r>
          </w:p>
          <w:p w:rsidR="00CA45EE" w:rsidRPr="00D35F33" w:rsidRDefault="00CA45EE" w:rsidP="00EE70D4">
            <w:pPr>
              <w:pStyle w:val="ListParagraph"/>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9B216F" w:rsidP="0051083D">
            <w:pPr>
              <w:jc w:val="both"/>
              <w:rPr>
                <w:rFonts w:ascii="Arial" w:hAnsi="Arial" w:cs="Arial"/>
                <w:b/>
              </w:rPr>
            </w:pPr>
            <w:r>
              <w:rPr>
                <w:rFonts w:ascii="Arial" w:hAnsi="Arial" w:cs="Arial"/>
                <w:b/>
              </w:rPr>
              <w:t>7</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Roles and Responsibilities</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9B216F" w:rsidP="00CA7398">
            <w:pPr>
              <w:jc w:val="both"/>
              <w:rPr>
                <w:rFonts w:ascii="Arial" w:hAnsi="Arial" w:cs="Arial"/>
              </w:rPr>
            </w:pPr>
            <w:r>
              <w:rPr>
                <w:rFonts w:ascii="Arial" w:hAnsi="Arial" w:cs="Arial"/>
              </w:rPr>
              <w:t>7</w:t>
            </w:r>
            <w:r w:rsidR="008A50B0" w:rsidRPr="004231B6">
              <w:rPr>
                <w:rFonts w:ascii="Arial" w:hAnsi="Arial" w:cs="Arial"/>
              </w:rPr>
              <w:t>.1</w:t>
            </w:r>
          </w:p>
        </w:tc>
        <w:tc>
          <w:tcPr>
            <w:tcW w:w="7795" w:type="dxa"/>
            <w:gridSpan w:val="2"/>
            <w:tcBorders>
              <w:top w:val="nil"/>
              <w:left w:val="nil"/>
              <w:bottom w:val="nil"/>
              <w:right w:val="nil"/>
            </w:tcBorders>
          </w:tcPr>
          <w:p w:rsidR="008A50B0" w:rsidRPr="004231B6" w:rsidRDefault="00CA45EE" w:rsidP="00CA7398">
            <w:pPr>
              <w:jc w:val="both"/>
              <w:rPr>
                <w:rFonts w:ascii="Arial" w:hAnsi="Arial" w:cs="Arial"/>
              </w:rPr>
            </w:pPr>
            <w:r w:rsidRPr="00CA45EE">
              <w:rPr>
                <w:rFonts w:ascii="Arial" w:hAnsi="Arial" w:cs="Arial"/>
              </w:rPr>
              <w:t>The following describes the role and responsibilities within the CCG, and how each role will influence and interact in the decommissioning process.</w:t>
            </w:r>
          </w:p>
          <w:p w:rsidR="008A50B0" w:rsidRDefault="008A50B0" w:rsidP="00CA7398">
            <w:pPr>
              <w:jc w:val="both"/>
              <w:rPr>
                <w:rFonts w:ascii="Arial" w:hAnsi="Arial" w:cs="Arial"/>
              </w:rPr>
            </w:pPr>
          </w:p>
          <w:p w:rsidR="009936AD" w:rsidRDefault="009936AD" w:rsidP="00CA7398">
            <w:pPr>
              <w:jc w:val="both"/>
              <w:rPr>
                <w:rFonts w:ascii="Arial" w:hAnsi="Arial" w:cs="Arial"/>
              </w:rPr>
            </w:pPr>
          </w:p>
          <w:p w:rsidR="009936AD" w:rsidRPr="004231B6" w:rsidRDefault="009936AD" w:rsidP="00CA7398">
            <w:pPr>
              <w:jc w:val="both"/>
              <w:rPr>
                <w:rFonts w:ascii="Arial" w:hAnsi="Arial" w:cs="Arial"/>
              </w:rPr>
            </w:pPr>
          </w:p>
        </w:tc>
      </w:tr>
      <w:tr w:rsidR="003E5D0E" w:rsidRPr="004231B6">
        <w:tc>
          <w:tcPr>
            <w:tcW w:w="642" w:type="dxa"/>
            <w:tcBorders>
              <w:top w:val="nil"/>
              <w:left w:val="nil"/>
              <w:bottom w:val="nil"/>
              <w:right w:val="nil"/>
            </w:tcBorders>
          </w:tcPr>
          <w:p w:rsidR="003E5D0E" w:rsidRPr="004231B6" w:rsidRDefault="003E5D0E" w:rsidP="00CA7398">
            <w:pPr>
              <w:jc w:val="both"/>
              <w:rPr>
                <w:rFonts w:ascii="Arial" w:hAnsi="Arial" w:cs="Arial"/>
              </w:rPr>
            </w:pPr>
          </w:p>
        </w:tc>
        <w:tc>
          <w:tcPr>
            <w:tcW w:w="805" w:type="dxa"/>
            <w:tcBorders>
              <w:top w:val="nil"/>
              <w:left w:val="nil"/>
              <w:bottom w:val="nil"/>
              <w:right w:val="nil"/>
            </w:tcBorders>
          </w:tcPr>
          <w:p w:rsidR="003E5D0E" w:rsidRPr="004231B6" w:rsidRDefault="003E5D0E" w:rsidP="00CA7398">
            <w:pPr>
              <w:jc w:val="both"/>
              <w:rPr>
                <w:rFonts w:ascii="Arial" w:hAnsi="Arial" w:cs="Arial"/>
              </w:rPr>
            </w:pPr>
          </w:p>
        </w:tc>
        <w:tc>
          <w:tcPr>
            <w:tcW w:w="984" w:type="dxa"/>
            <w:tcBorders>
              <w:top w:val="nil"/>
              <w:left w:val="nil"/>
              <w:bottom w:val="nil"/>
              <w:right w:val="nil"/>
            </w:tcBorders>
          </w:tcPr>
          <w:p w:rsidR="003E5D0E" w:rsidRDefault="009B216F" w:rsidP="00CA7398">
            <w:pPr>
              <w:jc w:val="both"/>
              <w:rPr>
                <w:rFonts w:ascii="Arial" w:hAnsi="Arial" w:cs="Arial"/>
              </w:rPr>
            </w:pPr>
            <w:r>
              <w:rPr>
                <w:rFonts w:ascii="Arial" w:hAnsi="Arial" w:cs="Arial"/>
              </w:rPr>
              <w:t>7</w:t>
            </w:r>
            <w:r w:rsidR="00A83852">
              <w:rPr>
                <w:rFonts w:ascii="Arial" w:hAnsi="Arial" w:cs="Arial"/>
              </w:rPr>
              <w:t>.1.1</w:t>
            </w:r>
          </w:p>
        </w:tc>
        <w:tc>
          <w:tcPr>
            <w:tcW w:w="6811" w:type="dxa"/>
            <w:tcBorders>
              <w:top w:val="nil"/>
              <w:left w:val="nil"/>
              <w:bottom w:val="nil"/>
              <w:right w:val="nil"/>
            </w:tcBorders>
          </w:tcPr>
          <w:p w:rsidR="003E5D0E" w:rsidRPr="00A83852" w:rsidRDefault="00A83852" w:rsidP="00CA45EE">
            <w:pPr>
              <w:jc w:val="both"/>
              <w:rPr>
                <w:rFonts w:ascii="Arial" w:hAnsi="Arial" w:cs="Arial"/>
                <w:b/>
              </w:rPr>
            </w:pPr>
            <w:r w:rsidRPr="00A83852">
              <w:rPr>
                <w:rFonts w:ascii="Arial" w:hAnsi="Arial" w:cs="Arial"/>
                <w:b/>
              </w:rPr>
              <w:t>Governing Body</w:t>
            </w:r>
          </w:p>
          <w:p w:rsidR="00A83852" w:rsidRDefault="00A83852" w:rsidP="00CA45EE">
            <w:pPr>
              <w:jc w:val="both"/>
              <w:rPr>
                <w:rFonts w:ascii="Arial" w:hAnsi="Arial" w:cs="Arial"/>
              </w:rPr>
            </w:pPr>
            <w:r>
              <w:rPr>
                <w:rFonts w:ascii="Arial" w:hAnsi="Arial" w:cs="Arial"/>
              </w:rPr>
              <w:t>Governing Body is responsible for approving this Policy. Decisions to decommission will require Governing Body approval.</w:t>
            </w:r>
          </w:p>
          <w:p w:rsidR="00A83852" w:rsidRDefault="00A83852" w:rsidP="009936AD">
            <w:pPr>
              <w:ind w:left="720"/>
              <w:rPr>
                <w:rFonts w:ascii="Arial" w:hAnsi="Arial" w:cs="Arial"/>
              </w:rPr>
            </w:pPr>
          </w:p>
        </w:tc>
      </w:tr>
      <w:tr w:rsidR="00AC4636" w:rsidRPr="009936AD">
        <w:tc>
          <w:tcPr>
            <w:tcW w:w="642" w:type="dxa"/>
            <w:tcBorders>
              <w:top w:val="nil"/>
              <w:left w:val="nil"/>
              <w:bottom w:val="nil"/>
              <w:right w:val="nil"/>
            </w:tcBorders>
          </w:tcPr>
          <w:p w:rsidR="007347B2" w:rsidRPr="009936AD" w:rsidRDefault="007347B2" w:rsidP="00CA7398">
            <w:pPr>
              <w:jc w:val="both"/>
              <w:rPr>
                <w:rFonts w:ascii="Arial" w:hAnsi="Arial" w:cs="Arial"/>
              </w:rPr>
            </w:pPr>
          </w:p>
        </w:tc>
        <w:tc>
          <w:tcPr>
            <w:tcW w:w="805" w:type="dxa"/>
            <w:tcBorders>
              <w:top w:val="nil"/>
              <w:left w:val="nil"/>
              <w:bottom w:val="nil"/>
              <w:right w:val="nil"/>
            </w:tcBorders>
          </w:tcPr>
          <w:p w:rsidR="007347B2" w:rsidRPr="009936AD" w:rsidRDefault="007347B2" w:rsidP="00CA7398">
            <w:pPr>
              <w:jc w:val="both"/>
              <w:rPr>
                <w:rFonts w:ascii="Arial" w:hAnsi="Arial" w:cs="Arial"/>
              </w:rPr>
            </w:pPr>
          </w:p>
        </w:tc>
        <w:tc>
          <w:tcPr>
            <w:tcW w:w="984" w:type="dxa"/>
            <w:tcBorders>
              <w:top w:val="nil"/>
              <w:left w:val="nil"/>
              <w:bottom w:val="nil"/>
              <w:right w:val="nil"/>
            </w:tcBorders>
          </w:tcPr>
          <w:p w:rsidR="007347B2" w:rsidRPr="009936AD" w:rsidRDefault="00B945F3" w:rsidP="00CA7398">
            <w:pPr>
              <w:jc w:val="both"/>
              <w:rPr>
                <w:rFonts w:ascii="Arial" w:hAnsi="Arial" w:cs="Arial"/>
              </w:rPr>
            </w:pPr>
            <w:r w:rsidRPr="009936AD">
              <w:rPr>
                <w:rFonts w:ascii="Arial" w:hAnsi="Arial" w:cs="Arial"/>
              </w:rPr>
              <w:t>7.1.2</w:t>
            </w:r>
          </w:p>
        </w:tc>
        <w:tc>
          <w:tcPr>
            <w:tcW w:w="6811" w:type="dxa"/>
            <w:tcBorders>
              <w:top w:val="nil"/>
              <w:left w:val="nil"/>
              <w:bottom w:val="nil"/>
              <w:right w:val="nil"/>
            </w:tcBorders>
          </w:tcPr>
          <w:p w:rsidR="007347B2" w:rsidRPr="009936AD" w:rsidRDefault="00B945F3" w:rsidP="00B945F3">
            <w:pPr>
              <w:jc w:val="both"/>
              <w:rPr>
                <w:rFonts w:ascii="Arial" w:hAnsi="Arial" w:cs="Arial"/>
                <w:b/>
              </w:rPr>
            </w:pPr>
            <w:r w:rsidRPr="009936AD">
              <w:rPr>
                <w:rFonts w:ascii="Arial" w:hAnsi="Arial" w:cs="Arial"/>
                <w:b/>
              </w:rPr>
              <w:t>Finance &amp; Performance Committee</w:t>
            </w:r>
          </w:p>
          <w:p w:rsidR="00B945F3" w:rsidRPr="009936AD" w:rsidRDefault="008B416D" w:rsidP="00B945F3">
            <w:pPr>
              <w:jc w:val="both"/>
              <w:rPr>
                <w:rFonts w:ascii="Arial" w:hAnsi="Arial" w:cs="Arial"/>
              </w:rPr>
            </w:pPr>
            <w:r w:rsidRPr="009936AD">
              <w:rPr>
                <w:rFonts w:ascii="Arial" w:hAnsi="Arial" w:cs="Arial"/>
              </w:rPr>
              <w:t>Finance and Performance Committee is responsible for the review and oversight of finance and performance in relation to:</w:t>
            </w:r>
          </w:p>
          <w:p w:rsidR="008B416D" w:rsidRPr="009936AD" w:rsidRDefault="008B416D" w:rsidP="009936AD">
            <w:pPr>
              <w:pStyle w:val="ListParagraph"/>
              <w:numPr>
                <w:ilvl w:val="0"/>
                <w:numId w:val="41"/>
              </w:numPr>
              <w:jc w:val="both"/>
              <w:rPr>
                <w:rFonts w:ascii="Arial" w:hAnsi="Arial" w:cs="Arial"/>
              </w:rPr>
            </w:pPr>
            <w:proofErr w:type="gramStart"/>
            <w:r w:rsidRPr="009936AD">
              <w:rPr>
                <w:rFonts w:ascii="Arial" w:hAnsi="Arial" w:cs="Arial"/>
              </w:rPr>
              <w:t>implementation</w:t>
            </w:r>
            <w:proofErr w:type="gramEnd"/>
            <w:r w:rsidRPr="009936AD">
              <w:rPr>
                <w:rFonts w:ascii="Arial" w:hAnsi="Arial" w:cs="Arial"/>
              </w:rPr>
              <w:t xml:space="preserve"> of the Quality, Innovation, Productivity and Prevention (QIPP) schemes</w:t>
            </w:r>
            <w:r w:rsidR="00043D50" w:rsidRPr="009936AD">
              <w:rPr>
                <w:rFonts w:ascii="Arial" w:hAnsi="Arial" w:cs="Arial"/>
              </w:rPr>
              <w:t xml:space="preserve"> – </w:t>
            </w:r>
            <w:r w:rsidR="009936AD">
              <w:rPr>
                <w:rFonts w:ascii="Arial" w:hAnsi="Arial" w:cs="Arial"/>
              </w:rPr>
              <w:t>t</w:t>
            </w:r>
            <w:r w:rsidR="00043D50" w:rsidRPr="009936AD">
              <w:rPr>
                <w:rFonts w:ascii="Arial" w:hAnsi="Arial" w:cs="Arial"/>
              </w:rPr>
              <w:t>his would include those which may require decommissioning of a service.</w:t>
            </w:r>
          </w:p>
          <w:p w:rsidR="00B945F3" w:rsidRPr="009936AD" w:rsidRDefault="00043D50" w:rsidP="00B945F3">
            <w:pPr>
              <w:pStyle w:val="ListParagraph"/>
              <w:numPr>
                <w:ilvl w:val="0"/>
                <w:numId w:val="41"/>
              </w:numPr>
              <w:jc w:val="both"/>
              <w:rPr>
                <w:rFonts w:ascii="Arial" w:hAnsi="Arial" w:cs="Arial"/>
                <w:b/>
              </w:rPr>
            </w:pPr>
            <w:proofErr w:type="gramStart"/>
            <w:r w:rsidRPr="009936AD">
              <w:rPr>
                <w:rFonts w:ascii="Arial" w:hAnsi="Arial" w:cs="Arial"/>
              </w:rPr>
              <w:t>implementation</w:t>
            </w:r>
            <w:proofErr w:type="gramEnd"/>
            <w:r w:rsidRPr="009936AD">
              <w:rPr>
                <w:rFonts w:ascii="Arial" w:hAnsi="Arial" w:cs="Arial"/>
              </w:rPr>
              <w:t xml:space="preserve"> of investments</w:t>
            </w:r>
            <w:r w:rsidR="009936AD" w:rsidRPr="009936AD">
              <w:rPr>
                <w:rFonts w:ascii="Arial" w:hAnsi="Arial" w:cs="Arial"/>
              </w:rPr>
              <w:t xml:space="preserve"> </w:t>
            </w:r>
            <w:r w:rsidRPr="009936AD">
              <w:rPr>
                <w:rFonts w:ascii="Arial" w:hAnsi="Arial" w:cs="Arial"/>
              </w:rPr>
              <w:t>(disinvestments) / transformation schemes, receiving updates outlining financial, activity and delivery against key performance indicators for each scheme</w:t>
            </w:r>
            <w:r w:rsidR="009936AD" w:rsidRPr="009936AD">
              <w:rPr>
                <w:rFonts w:ascii="Arial" w:hAnsi="Arial" w:cs="Arial"/>
              </w:rPr>
              <w:t>.</w:t>
            </w:r>
          </w:p>
          <w:p w:rsidR="00B945F3" w:rsidRPr="009936AD" w:rsidRDefault="00B945F3" w:rsidP="00B945F3">
            <w:pPr>
              <w:jc w:val="both"/>
              <w:rPr>
                <w:rFonts w:ascii="Arial" w:hAnsi="Arial" w:cs="Arial"/>
                <w:b/>
              </w:rPr>
            </w:pPr>
          </w:p>
        </w:tc>
      </w:tr>
      <w:tr w:rsidR="00AC4636" w:rsidRPr="009936AD">
        <w:tc>
          <w:tcPr>
            <w:tcW w:w="642" w:type="dxa"/>
            <w:tcBorders>
              <w:top w:val="nil"/>
              <w:left w:val="nil"/>
              <w:bottom w:val="nil"/>
              <w:right w:val="nil"/>
            </w:tcBorders>
          </w:tcPr>
          <w:p w:rsidR="00EC6B18" w:rsidRPr="009936AD" w:rsidRDefault="00EC6B18" w:rsidP="00CA7398">
            <w:pPr>
              <w:jc w:val="both"/>
              <w:rPr>
                <w:rFonts w:ascii="Arial" w:hAnsi="Arial" w:cs="Arial"/>
              </w:rPr>
            </w:pPr>
          </w:p>
        </w:tc>
        <w:tc>
          <w:tcPr>
            <w:tcW w:w="805" w:type="dxa"/>
            <w:tcBorders>
              <w:top w:val="nil"/>
              <w:left w:val="nil"/>
              <w:bottom w:val="nil"/>
              <w:right w:val="nil"/>
            </w:tcBorders>
          </w:tcPr>
          <w:p w:rsidR="00EC6B18" w:rsidRPr="009936AD" w:rsidRDefault="00EC6B18" w:rsidP="00CA7398">
            <w:pPr>
              <w:jc w:val="both"/>
              <w:rPr>
                <w:rFonts w:ascii="Arial" w:hAnsi="Arial" w:cs="Arial"/>
              </w:rPr>
            </w:pPr>
          </w:p>
        </w:tc>
        <w:tc>
          <w:tcPr>
            <w:tcW w:w="984" w:type="dxa"/>
            <w:tcBorders>
              <w:top w:val="nil"/>
              <w:left w:val="nil"/>
              <w:bottom w:val="nil"/>
              <w:right w:val="nil"/>
            </w:tcBorders>
          </w:tcPr>
          <w:p w:rsidR="00EC6B18" w:rsidRPr="009936AD" w:rsidRDefault="00EC6B18" w:rsidP="00CA7398">
            <w:pPr>
              <w:jc w:val="both"/>
              <w:rPr>
                <w:rFonts w:ascii="Arial" w:hAnsi="Arial" w:cs="Arial"/>
              </w:rPr>
            </w:pPr>
            <w:r w:rsidRPr="009936AD">
              <w:rPr>
                <w:rFonts w:ascii="Arial" w:hAnsi="Arial" w:cs="Arial"/>
              </w:rPr>
              <w:t>7.1.3</w:t>
            </w:r>
          </w:p>
        </w:tc>
        <w:tc>
          <w:tcPr>
            <w:tcW w:w="6811" w:type="dxa"/>
            <w:tcBorders>
              <w:top w:val="nil"/>
              <w:left w:val="nil"/>
              <w:bottom w:val="nil"/>
              <w:right w:val="nil"/>
            </w:tcBorders>
          </w:tcPr>
          <w:p w:rsidR="00EC6B18" w:rsidRPr="009936AD" w:rsidRDefault="009936AD" w:rsidP="00B945F3">
            <w:pPr>
              <w:jc w:val="both"/>
              <w:rPr>
                <w:rFonts w:ascii="Arial" w:hAnsi="Arial" w:cs="Arial"/>
                <w:b/>
              </w:rPr>
            </w:pPr>
            <w:r>
              <w:rPr>
                <w:rFonts w:ascii="Arial" w:hAnsi="Arial" w:cs="Arial"/>
                <w:b/>
              </w:rPr>
              <w:t>Clinical Forum</w:t>
            </w:r>
          </w:p>
          <w:p w:rsidR="00EC6B18" w:rsidRPr="009936AD" w:rsidRDefault="00EC6B18" w:rsidP="00EC6B18">
            <w:pPr>
              <w:jc w:val="both"/>
              <w:rPr>
                <w:rFonts w:ascii="Arial" w:hAnsi="Arial" w:cs="Arial"/>
              </w:rPr>
            </w:pPr>
            <w:r w:rsidRPr="009936AD">
              <w:rPr>
                <w:rFonts w:ascii="Arial" w:hAnsi="Arial" w:cs="Arial"/>
              </w:rPr>
              <w:t xml:space="preserve">The purpose of the </w:t>
            </w:r>
            <w:r w:rsidR="009936AD">
              <w:rPr>
                <w:rFonts w:ascii="Arial" w:hAnsi="Arial" w:cs="Arial"/>
              </w:rPr>
              <w:t>Clinical Forum</w:t>
            </w:r>
            <w:r w:rsidRPr="009936AD">
              <w:rPr>
                <w:rFonts w:ascii="Arial" w:hAnsi="Arial" w:cs="Arial"/>
              </w:rPr>
              <w:t xml:space="preserve"> is to inform the development of commissioning proposals, strategies and plans ahead of formal presentation to the Governing Body or other appropriate groups. The </w:t>
            </w:r>
            <w:r w:rsidR="009936AD">
              <w:rPr>
                <w:rFonts w:ascii="Arial" w:hAnsi="Arial" w:cs="Arial"/>
              </w:rPr>
              <w:t>Clinical Forum</w:t>
            </w:r>
            <w:r w:rsidRPr="009936AD">
              <w:rPr>
                <w:rFonts w:ascii="Arial" w:hAnsi="Arial" w:cs="Arial"/>
              </w:rPr>
              <w:t xml:space="preserve"> provides an opportunity to discuss possible courses of action to achieve improved, cost-effective, clinical pathways. It provides a clinical and service perspective to potential QIPP and other CCG work streams and a pragmatic view on implementation feasibility. It will work in parallel to the QIPP Delivery Group to provide a steer for the development of proposals with regard to preferred clinical models and methods of implementation.</w:t>
            </w:r>
          </w:p>
          <w:p w:rsidR="00EC6B18" w:rsidRPr="009936AD" w:rsidRDefault="00EC6B18" w:rsidP="00EC6B18">
            <w:pPr>
              <w:jc w:val="both"/>
              <w:rPr>
                <w:rFonts w:ascii="Arial" w:hAnsi="Arial" w:cs="Arial"/>
                <w:b/>
              </w:rPr>
            </w:pPr>
          </w:p>
        </w:tc>
      </w:tr>
      <w:tr w:rsidR="009936AD" w:rsidRPr="009936AD">
        <w:tc>
          <w:tcPr>
            <w:tcW w:w="642" w:type="dxa"/>
            <w:tcBorders>
              <w:top w:val="nil"/>
              <w:left w:val="nil"/>
              <w:bottom w:val="nil"/>
              <w:right w:val="nil"/>
            </w:tcBorders>
          </w:tcPr>
          <w:p w:rsidR="00B945F3" w:rsidRPr="009936AD" w:rsidRDefault="00B945F3" w:rsidP="00CA7398">
            <w:pPr>
              <w:jc w:val="both"/>
              <w:rPr>
                <w:rFonts w:ascii="Arial" w:hAnsi="Arial" w:cs="Arial"/>
              </w:rPr>
            </w:pPr>
          </w:p>
        </w:tc>
        <w:tc>
          <w:tcPr>
            <w:tcW w:w="805" w:type="dxa"/>
            <w:tcBorders>
              <w:top w:val="nil"/>
              <w:left w:val="nil"/>
              <w:bottom w:val="nil"/>
              <w:right w:val="nil"/>
            </w:tcBorders>
          </w:tcPr>
          <w:p w:rsidR="00B945F3" w:rsidRPr="009936AD" w:rsidRDefault="00B945F3" w:rsidP="00CA7398">
            <w:pPr>
              <w:jc w:val="both"/>
              <w:rPr>
                <w:rFonts w:ascii="Arial" w:hAnsi="Arial" w:cs="Arial"/>
              </w:rPr>
            </w:pPr>
          </w:p>
        </w:tc>
        <w:tc>
          <w:tcPr>
            <w:tcW w:w="984" w:type="dxa"/>
            <w:tcBorders>
              <w:top w:val="nil"/>
              <w:left w:val="nil"/>
              <w:bottom w:val="nil"/>
              <w:right w:val="nil"/>
            </w:tcBorders>
          </w:tcPr>
          <w:p w:rsidR="00B945F3" w:rsidRPr="009936AD" w:rsidRDefault="003C465E" w:rsidP="00CA7398">
            <w:pPr>
              <w:jc w:val="both"/>
              <w:rPr>
                <w:rFonts w:ascii="Arial" w:hAnsi="Arial" w:cs="Arial"/>
              </w:rPr>
            </w:pPr>
            <w:r>
              <w:rPr>
                <w:rFonts w:ascii="Arial" w:hAnsi="Arial" w:cs="Arial"/>
              </w:rPr>
              <w:t>7.1.4</w:t>
            </w:r>
          </w:p>
        </w:tc>
        <w:tc>
          <w:tcPr>
            <w:tcW w:w="6811" w:type="dxa"/>
            <w:tcBorders>
              <w:top w:val="nil"/>
              <w:left w:val="nil"/>
              <w:bottom w:val="nil"/>
              <w:right w:val="nil"/>
            </w:tcBorders>
          </w:tcPr>
          <w:p w:rsidR="009936AD" w:rsidRDefault="00B945F3" w:rsidP="009936AD">
            <w:pPr>
              <w:jc w:val="both"/>
              <w:rPr>
                <w:rFonts w:ascii="Arial" w:hAnsi="Arial" w:cs="Arial"/>
                <w:b/>
              </w:rPr>
            </w:pPr>
            <w:r w:rsidRPr="009936AD">
              <w:rPr>
                <w:rFonts w:ascii="Arial" w:hAnsi="Arial" w:cs="Arial"/>
                <w:b/>
              </w:rPr>
              <w:t xml:space="preserve">QIPP Delivery </w:t>
            </w:r>
            <w:r w:rsidR="00043D50" w:rsidRPr="009936AD">
              <w:rPr>
                <w:rFonts w:ascii="Arial" w:hAnsi="Arial" w:cs="Arial"/>
                <w:b/>
              </w:rPr>
              <w:t>Group</w:t>
            </w:r>
          </w:p>
          <w:p w:rsidR="00B945F3" w:rsidRDefault="00043D50" w:rsidP="009936AD">
            <w:pPr>
              <w:jc w:val="both"/>
              <w:rPr>
                <w:rFonts w:ascii="Arial" w:hAnsi="Arial" w:cs="Arial"/>
                <w:szCs w:val="24"/>
              </w:rPr>
            </w:pPr>
            <w:r w:rsidRPr="009936AD">
              <w:rPr>
                <w:rFonts w:ascii="Arial" w:hAnsi="Arial" w:cs="Arial"/>
                <w:szCs w:val="24"/>
              </w:rPr>
              <w:t xml:space="preserve">The QIPP Delivery Group will manage the QIPP programme </w:t>
            </w:r>
            <w:r w:rsidR="00EC6B18" w:rsidRPr="009936AD">
              <w:rPr>
                <w:rFonts w:ascii="Arial" w:hAnsi="Arial" w:cs="Arial"/>
                <w:szCs w:val="24"/>
              </w:rPr>
              <w:t>and provide oversight of</w:t>
            </w:r>
            <w:r w:rsidRPr="009936AD">
              <w:rPr>
                <w:rFonts w:ascii="Arial" w:hAnsi="Arial" w:cs="Arial"/>
                <w:szCs w:val="24"/>
              </w:rPr>
              <w:t xml:space="preserve"> programme and project management arrangeme</w:t>
            </w:r>
            <w:r w:rsidR="00B569FA">
              <w:rPr>
                <w:rFonts w:ascii="Arial" w:hAnsi="Arial" w:cs="Arial"/>
                <w:szCs w:val="24"/>
              </w:rPr>
              <w:t>nts, ensuring projects are</w:t>
            </w:r>
            <w:r w:rsidRPr="009936AD">
              <w:rPr>
                <w:rFonts w:ascii="Arial" w:hAnsi="Arial" w:cs="Arial"/>
                <w:szCs w:val="24"/>
              </w:rPr>
              <w:t xml:space="preserve"> managed in stages, following the CCG Project Management Framework.  The QIPP Delivery Group will review business cases and project initiation documents, acting as a gateway for the approval of projects, and review progress of individual projects, reporting to Finance and Performance Committee</w:t>
            </w:r>
            <w:r w:rsidR="009936AD">
              <w:rPr>
                <w:rFonts w:ascii="Arial" w:hAnsi="Arial" w:cs="Arial"/>
                <w:szCs w:val="24"/>
              </w:rPr>
              <w:t>.</w:t>
            </w:r>
          </w:p>
          <w:p w:rsidR="009936AD" w:rsidRPr="009936AD" w:rsidRDefault="009936AD" w:rsidP="009936AD">
            <w:pPr>
              <w:jc w:val="both"/>
              <w:rPr>
                <w:rFonts w:ascii="Arial" w:hAnsi="Arial" w:cs="Arial"/>
                <w:b/>
              </w:rPr>
            </w:pPr>
          </w:p>
        </w:tc>
      </w:tr>
      <w:tr w:rsidR="003C465E" w:rsidRPr="003C465E">
        <w:tc>
          <w:tcPr>
            <w:tcW w:w="642" w:type="dxa"/>
            <w:tcBorders>
              <w:top w:val="nil"/>
              <w:left w:val="nil"/>
              <w:bottom w:val="nil"/>
              <w:right w:val="nil"/>
            </w:tcBorders>
          </w:tcPr>
          <w:p w:rsidR="00B945F3" w:rsidRPr="003C465E" w:rsidRDefault="00B945F3" w:rsidP="00CA7398">
            <w:pPr>
              <w:jc w:val="both"/>
              <w:rPr>
                <w:rFonts w:ascii="Arial" w:hAnsi="Arial" w:cs="Arial"/>
              </w:rPr>
            </w:pPr>
          </w:p>
        </w:tc>
        <w:tc>
          <w:tcPr>
            <w:tcW w:w="805" w:type="dxa"/>
            <w:tcBorders>
              <w:top w:val="nil"/>
              <w:left w:val="nil"/>
              <w:bottom w:val="nil"/>
              <w:right w:val="nil"/>
            </w:tcBorders>
          </w:tcPr>
          <w:p w:rsidR="00B945F3" w:rsidRPr="003C465E" w:rsidRDefault="00B945F3" w:rsidP="00CA7398">
            <w:pPr>
              <w:jc w:val="both"/>
              <w:rPr>
                <w:rFonts w:ascii="Arial" w:hAnsi="Arial" w:cs="Arial"/>
              </w:rPr>
            </w:pPr>
          </w:p>
        </w:tc>
        <w:tc>
          <w:tcPr>
            <w:tcW w:w="984" w:type="dxa"/>
            <w:tcBorders>
              <w:top w:val="nil"/>
              <w:left w:val="nil"/>
              <w:bottom w:val="nil"/>
              <w:right w:val="nil"/>
            </w:tcBorders>
          </w:tcPr>
          <w:p w:rsidR="00B945F3" w:rsidRPr="003C465E" w:rsidRDefault="003C465E" w:rsidP="00CA7398">
            <w:pPr>
              <w:jc w:val="both"/>
              <w:rPr>
                <w:rFonts w:ascii="Arial" w:hAnsi="Arial" w:cs="Arial"/>
              </w:rPr>
            </w:pPr>
            <w:r w:rsidRPr="003C465E">
              <w:rPr>
                <w:rFonts w:ascii="Arial" w:hAnsi="Arial" w:cs="Arial"/>
              </w:rPr>
              <w:t>7.1.5</w:t>
            </w:r>
          </w:p>
        </w:tc>
        <w:tc>
          <w:tcPr>
            <w:tcW w:w="6811" w:type="dxa"/>
            <w:tcBorders>
              <w:top w:val="nil"/>
              <w:left w:val="nil"/>
              <w:bottom w:val="nil"/>
              <w:right w:val="nil"/>
            </w:tcBorders>
          </w:tcPr>
          <w:p w:rsidR="003C465E" w:rsidRDefault="00EC6B18" w:rsidP="003C465E">
            <w:pPr>
              <w:jc w:val="both"/>
              <w:rPr>
                <w:rFonts w:ascii="Arial" w:hAnsi="Arial" w:cs="Arial"/>
                <w:b/>
              </w:rPr>
            </w:pPr>
            <w:r w:rsidRPr="003C465E">
              <w:rPr>
                <w:rFonts w:ascii="Arial" w:hAnsi="Arial" w:cs="Arial"/>
                <w:b/>
              </w:rPr>
              <w:t>QIPP Monitoring Group</w:t>
            </w:r>
            <w:r w:rsidR="003C465E">
              <w:rPr>
                <w:rFonts w:ascii="Arial" w:hAnsi="Arial" w:cs="Arial"/>
                <w:b/>
              </w:rPr>
              <w:t xml:space="preserve"> </w:t>
            </w:r>
            <w:r w:rsidRPr="003C465E">
              <w:rPr>
                <w:rFonts w:ascii="Arial" w:hAnsi="Arial" w:cs="Arial"/>
                <w:b/>
              </w:rPr>
              <w:t>/</w:t>
            </w:r>
            <w:r w:rsidR="003C465E">
              <w:rPr>
                <w:rFonts w:ascii="Arial" w:hAnsi="Arial" w:cs="Arial"/>
                <w:b/>
              </w:rPr>
              <w:t xml:space="preserve"> </w:t>
            </w:r>
            <w:r w:rsidR="00B945F3" w:rsidRPr="003C465E">
              <w:rPr>
                <w:rFonts w:ascii="Arial" w:hAnsi="Arial" w:cs="Arial"/>
                <w:b/>
              </w:rPr>
              <w:t>Programme Management Office (PMO)</w:t>
            </w:r>
          </w:p>
          <w:p w:rsidR="00B945F3" w:rsidRDefault="00EC6B18" w:rsidP="00CA45EE">
            <w:pPr>
              <w:jc w:val="both"/>
              <w:rPr>
                <w:rFonts w:ascii="Arial" w:hAnsi="Arial" w:cs="Arial"/>
              </w:rPr>
            </w:pPr>
            <w:r w:rsidRPr="003C465E">
              <w:rPr>
                <w:rFonts w:ascii="Arial" w:hAnsi="Arial" w:cs="Arial"/>
              </w:rPr>
              <w:t xml:space="preserve">The QIPP Monitoring Group and the PMO function will be responsible for establishing and maintaining a structured approach to delivering projects which are </w:t>
            </w:r>
            <w:r w:rsidR="002E4C4F" w:rsidRPr="003C465E">
              <w:rPr>
                <w:rFonts w:ascii="Arial" w:hAnsi="Arial" w:cs="Arial"/>
              </w:rPr>
              <w:t>intended to deliver the QIPP Plan</w:t>
            </w:r>
            <w:r w:rsidRPr="003C465E">
              <w:rPr>
                <w:rFonts w:ascii="Arial" w:hAnsi="Arial" w:cs="Arial"/>
              </w:rPr>
              <w:t xml:space="preserve"> and providing advice and guidance on the practice of project management</w:t>
            </w:r>
            <w:r w:rsidR="002E4C4F" w:rsidRPr="003C465E">
              <w:rPr>
                <w:rFonts w:ascii="Arial" w:hAnsi="Arial" w:cs="Arial"/>
              </w:rPr>
              <w:t>.</w:t>
            </w:r>
            <w:r w:rsidRPr="003C465E">
              <w:rPr>
                <w:rFonts w:ascii="Arial" w:hAnsi="Arial" w:cs="Arial"/>
              </w:rPr>
              <w:t xml:space="preserve"> </w:t>
            </w:r>
            <w:r w:rsidR="002E4C4F" w:rsidRPr="003C465E">
              <w:rPr>
                <w:rFonts w:ascii="Arial" w:hAnsi="Arial" w:cs="Arial"/>
              </w:rPr>
              <w:t>T</w:t>
            </w:r>
            <w:r w:rsidRPr="003C465E">
              <w:rPr>
                <w:rFonts w:ascii="Arial" w:hAnsi="Arial" w:cs="Arial"/>
              </w:rPr>
              <w:t>he QIPP Monitoring Group</w:t>
            </w:r>
            <w:r w:rsidR="002E4C4F" w:rsidRPr="003C465E">
              <w:rPr>
                <w:rFonts w:ascii="Arial" w:hAnsi="Arial" w:cs="Arial"/>
              </w:rPr>
              <w:t xml:space="preserve"> </w:t>
            </w:r>
            <w:r w:rsidRPr="003C465E">
              <w:rPr>
                <w:rFonts w:ascii="Arial" w:hAnsi="Arial" w:cs="Arial"/>
              </w:rPr>
              <w:t xml:space="preserve">will </w:t>
            </w:r>
            <w:r w:rsidR="002E4C4F" w:rsidRPr="003C465E">
              <w:rPr>
                <w:rFonts w:ascii="Arial" w:hAnsi="Arial" w:cs="Arial"/>
              </w:rPr>
              <w:t>ensure there is a focused and systemised approach to deliver of QIPP schemes</w:t>
            </w:r>
            <w:r w:rsidRPr="003C465E">
              <w:rPr>
                <w:rFonts w:ascii="Arial" w:hAnsi="Arial" w:cs="Arial"/>
              </w:rPr>
              <w:t xml:space="preserve"> and </w:t>
            </w:r>
            <w:r w:rsidR="002E4C4F" w:rsidRPr="003C465E">
              <w:rPr>
                <w:rFonts w:ascii="Arial" w:hAnsi="Arial" w:cs="Arial"/>
              </w:rPr>
              <w:t xml:space="preserve">support </w:t>
            </w:r>
            <w:r w:rsidRPr="003C465E">
              <w:rPr>
                <w:rFonts w:ascii="Arial" w:hAnsi="Arial" w:cs="Arial"/>
              </w:rPr>
              <w:t xml:space="preserve">the </w:t>
            </w:r>
            <w:r w:rsidR="002E4C4F" w:rsidRPr="003C465E">
              <w:rPr>
                <w:rFonts w:ascii="Arial" w:hAnsi="Arial" w:cs="Arial"/>
              </w:rPr>
              <w:t xml:space="preserve">monitoring and reporting of progress and achievement of objectives (financial </w:t>
            </w:r>
            <w:r w:rsidR="002E4C4F" w:rsidRPr="003C465E">
              <w:rPr>
                <w:rFonts w:ascii="Arial" w:hAnsi="Arial" w:cs="Arial"/>
              </w:rPr>
              <w:lastRenderedPageBreak/>
              <w:t>and other).</w:t>
            </w:r>
          </w:p>
          <w:p w:rsidR="00D3444C" w:rsidRPr="003C465E" w:rsidRDefault="00D3444C" w:rsidP="00CA45EE">
            <w:pPr>
              <w:jc w:val="both"/>
              <w:rPr>
                <w:rFonts w:ascii="Arial" w:hAnsi="Arial" w:cs="Arial"/>
              </w:rPr>
            </w:pPr>
          </w:p>
        </w:tc>
      </w:tr>
      <w:tr w:rsidR="00AC4636" w:rsidRPr="003C465E">
        <w:tc>
          <w:tcPr>
            <w:tcW w:w="642" w:type="dxa"/>
            <w:tcBorders>
              <w:top w:val="nil"/>
              <w:left w:val="nil"/>
              <w:bottom w:val="nil"/>
              <w:right w:val="nil"/>
            </w:tcBorders>
          </w:tcPr>
          <w:p w:rsidR="00CA45EE" w:rsidRPr="003C465E" w:rsidRDefault="00CA45EE" w:rsidP="00CA7398">
            <w:pPr>
              <w:jc w:val="both"/>
              <w:rPr>
                <w:rFonts w:ascii="Arial" w:hAnsi="Arial" w:cs="Arial"/>
              </w:rPr>
            </w:pPr>
          </w:p>
        </w:tc>
        <w:tc>
          <w:tcPr>
            <w:tcW w:w="805" w:type="dxa"/>
            <w:tcBorders>
              <w:top w:val="nil"/>
              <w:left w:val="nil"/>
              <w:bottom w:val="nil"/>
              <w:right w:val="nil"/>
            </w:tcBorders>
          </w:tcPr>
          <w:p w:rsidR="00CA45EE" w:rsidRPr="003C465E" w:rsidRDefault="00CA45EE" w:rsidP="00CA7398">
            <w:pPr>
              <w:jc w:val="both"/>
              <w:rPr>
                <w:rFonts w:ascii="Arial" w:hAnsi="Arial" w:cs="Arial"/>
              </w:rPr>
            </w:pPr>
          </w:p>
        </w:tc>
        <w:tc>
          <w:tcPr>
            <w:tcW w:w="984" w:type="dxa"/>
            <w:tcBorders>
              <w:top w:val="nil"/>
              <w:left w:val="nil"/>
              <w:bottom w:val="nil"/>
              <w:right w:val="nil"/>
            </w:tcBorders>
          </w:tcPr>
          <w:p w:rsidR="00CA45EE" w:rsidRPr="003C465E" w:rsidRDefault="009B216F" w:rsidP="00CA7398">
            <w:pPr>
              <w:jc w:val="both"/>
              <w:rPr>
                <w:rFonts w:ascii="Arial" w:hAnsi="Arial" w:cs="Arial"/>
              </w:rPr>
            </w:pPr>
            <w:r w:rsidRPr="003C465E">
              <w:rPr>
                <w:rFonts w:ascii="Arial" w:hAnsi="Arial" w:cs="Arial"/>
              </w:rPr>
              <w:t>7.1.</w:t>
            </w:r>
            <w:r w:rsidR="003C465E" w:rsidRPr="003C465E">
              <w:rPr>
                <w:rFonts w:ascii="Arial" w:hAnsi="Arial" w:cs="Arial"/>
              </w:rPr>
              <w:t>6</w:t>
            </w:r>
          </w:p>
        </w:tc>
        <w:tc>
          <w:tcPr>
            <w:tcW w:w="6811" w:type="dxa"/>
            <w:tcBorders>
              <w:top w:val="nil"/>
              <w:left w:val="nil"/>
              <w:bottom w:val="nil"/>
              <w:right w:val="nil"/>
            </w:tcBorders>
          </w:tcPr>
          <w:p w:rsidR="00CA45EE" w:rsidRPr="003C465E" w:rsidRDefault="00CA45EE" w:rsidP="00CA45EE">
            <w:pPr>
              <w:jc w:val="both"/>
              <w:rPr>
                <w:rFonts w:ascii="Arial" w:hAnsi="Arial" w:cs="Arial"/>
                <w:b/>
              </w:rPr>
            </w:pPr>
            <w:r w:rsidRPr="003C465E">
              <w:rPr>
                <w:rFonts w:ascii="Arial" w:hAnsi="Arial" w:cs="Arial"/>
                <w:b/>
              </w:rPr>
              <w:t>Clinical Leads</w:t>
            </w:r>
          </w:p>
          <w:p w:rsidR="00CA45EE" w:rsidRPr="003C465E" w:rsidRDefault="00BC6A16" w:rsidP="00CA45EE">
            <w:pPr>
              <w:jc w:val="both"/>
              <w:rPr>
                <w:rFonts w:ascii="Arial" w:hAnsi="Arial" w:cs="Arial"/>
              </w:rPr>
            </w:pPr>
            <w:r w:rsidRPr="003C465E">
              <w:rPr>
                <w:rFonts w:ascii="Arial" w:hAnsi="Arial" w:cs="Arial"/>
              </w:rPr>
              <w:t>Will provide expert clinical advice and support throughout the process.</w:t>
            </w:r>
          </w:p>
          <w:p w:rsidR="00BC6A16" w:rsidRPr="003C465E" w:rsidRDefault="00BC6A16" w:rsidP="00CA45EE">
            <w:pPr>
              <w:jc w:val="both"/>
              <w:rPr>
                <w:rFonts w:ascii="Arial" w:hAnsi="Arial" w:cs="Arial"/>
              </w:rPr>
            </w:pPr>
          </w:p>
        </w:tc>
      </w:tr>
      <w:tr w:rsidR="003C465E" w:rsidRPr="003C465E">
        <w:tc>
          <w:tcPr>
            <w:tcW w:w="642" w:type="dxa"/>
            <w:tcBorders>
              <w:top w:val="nil"/>
              <w:left w:val="nil"/>
              <w:bottom w:val="nil"/>
              <w:right w:val="nil"/>
            </w:tcBorders>
          </w:tcPr>
          <w:p w:rsidR="00CA45EE" w:rsidRPr="003C465E" w:rsidRDefault="00CA45EE" w:rsidP="00CA7398">
            <w:pPr>
              <w:jc w:val="both"/>
              <w:rPr>
                <w:rFonts w:ascii="Arial" w:hAnsi="Arial" w:cs="Arial"/>
              </w:rPr>
            </w:pPr>
          </w:p>
        </w:tc>
        <w:tc>
          <w:tcPr>
            <w:tcW w:w="805" w:type="dxa"/>
            <w:tcBorders>
              <w:top w:val="nil"/>
              <w:left w:val="nil"/>
              <w:bottom w:val="nil"/>
              <w:right w:val="nil"/>
            </w:tcBorders>
          </w:tcPr>
          <w:p w:rsidR="00CA45EE" w:rsidRPr="003C465E" w:rsidRDefault="00CA45EE" w:rsidP="00CA7398">
            <w:pPr>
              <w:jc w:val="both"/>
              <w:rPr>
                <w:rFonts w:ascii="Arial" w:hAnsi="Arial" w:cs="Arial"/>
              </w:rPr>
            </w:pPr>
          </w:p>
        </w:tc>
        <w:tc>
          <w:tcPr>
            <w:tcW w:w="984" w:type="dxa"/>
            <w:tcBorders>
              <w:top w:val="nil"/>
              <w:left w:val="nil"/>
              <w:bottom w:val="nil"/>
              <w:right w:val="nil"/>
            </w:tcBorders>
          </w:tcPr>
          <w:p w:rsidR="00CA45EE" w:rsidRPr="003C465E" w:rsidRDefault="009B216F" w:rsidP="00CA7398">
            <w:pPr>
              <w:jc w:val="both"/>
              <w:rPr>
                <w:rFonts w:ascii="Arial" w:hAnsi="Arial" w:cs="Arial"/>
              </w:rPr>
            </w:pPr>
            <w:r w:rsidRPr="003C465E">
              <w:rPr>
                <w:rFonts w:ascii="Arial" w:hAnsi="Arial" w:cs="Arial"/>
              </w:rPr>
              <w:t>7.1.</w:t>
            </w:r>
            <w:r w:rsidR="003C465E" w:rsidRPr="003C465E">
              <w:rPr>
                <w:rFonts w:ascii="Arial" w:hAnsi="Arial" w:cs="Arial"/>
              </w:rPr>
              <w:t>7</w:t>
            </w:r>
          </w:p>
        </w:tc>
        <w:tc>
          <w:tcPr>
            <w:tcW w:w="6811" w:type="dxa"/>
            <w:tcBorders>
              <w:top w:val="nil"/>
              <w:left w:val="nil"/>
              <w:bottom w:val="nil"/>
              <w:right w:val="nil"/>
            </w:tcBorders>
          </w:tcPr>
          <w:p w:rsidR="00BC6A16" w:rsidRPr="003C465E" w:rsidRDefault="00DF364D" w:rsidP="00BC6A16">
            <w:pPr>
              <w:jc w:val="both"/>
              <w:rPr>
                <w:rFonts w:ascii="Arial" w:hAnsi="Arial" w:cs="Arial"/>
                <w:b/>
              </w:rPr>
            </w:pPr>
            <w:r w:rsidRPr="003C465E">
              <w:rPr>
                <w:rFonts w:ascii="Arial" w:hAnsi="Arial" w:cs="Arial"/>
                <w:b/>
              </w:rPr>
              <w:t>Officer Leads</w:t>
            </w:r>
          </w:p>
          <w:p w:rsidR="00BC6A16" w:rsidRPr="003C465E" w:rsidRDefault="00DF364D" w:rsidP="00BC6A16">
            <w:pPr>
              <w:jc w:val="both"/>
              <w:rPr>
                <w:rFonts w:ascii="Arial" w:hAnsi="Arial" w:cs="Arial"/>
              </w:rPr>
            </w:pPr>
            <w:r w:rsidRPr="003C465E">
              <w:rPr>
                <w:rFonts w:ascii="Arial" w:hAnsi="Arial" w:cs="Arial"/>
              </w:rPr>
              <w:t xml:space="preserve">The appropriate CCG officer </w:t>
            </w:r>
            <w:r w:rsidR="00BC6A16" w:rsidRPr="003C465E">
              <w:rPr>
                <w:rFonts w:ascii="Arial" w:hAnsi="Arial" w:cs="Arial"/>
              </w:rPr>
              <w:t>responsible for the commissioned service will undertake the following actions when developing decommissioning proposals:</w:t>
            </w:r>
          </w:p>
          <w:p w:rsidR="003C465E" w:rsidRDefault="00BC6A16" w:rsidP="00EA08AA">
            <w:pPr>
              <w:pStyle w:val="ListParagraph"/>
              <w:numPr>
                <w:ilvl w:val="0"/>
                <w:numId w:val="7"/>
              </w:numPr>
              <w:jc w:val="both"/>
              <w:rPr>
                <w:rFonts w:ascii="Arial" w:hAnsi="Arial" w:cs="Arial"/>
              </w:rPr>
            </w:pPr>
            <w:r w:rsidRPr="003C465E">
              <w:rPr>
                <w:rFonts w:ascii="Arial" w:hAnsi="Arial" w:cs="Arial"/>
              </w:rPr>
              <w:t xml:space="preserve">Secure any appropriate legal advice </w:t>
            </w:r>
            <w:r w:rsidR="00B569FA">
              <w:rPr>
                <w:rFonts w:ascii="Arial" w:hAnsi="Arial" w:cs="Arial"/>
              </w:rPr>
              <w:t xml:space="preserve">(following discussion and agreement by </w:t>
            </w:r>
            <w:r w:rsidRPr="003C465E">
              <w:rPr>
                <w:rFonts w:ascii="Arial" w:hAnsi="Arial" w:cs="Arial"/>
              </w:rPr>
              <w:t>the Chief Officer</w:t>
            </w:r>
            <w:r w:rsidR="00B569FA">
              <w:rPr>
                <w:rFonts w:ascii="Arial" w:hAnsi="Arial" w:cs="Arial"/>
              </w:rPr>
              <w:t xml:space="preserve">, </w:t>
            </w:r>
            <w:r w:rsidR="00DF364D" w:rsidRPr="003C465E">
              <w:rPr>
                <w:rFonts w:ascii="Arial" w:hAnsi="Arial" w:cs="Arial"/>
              </w:rPr>
              <w:t>Chief Finance Officer or Head of Governance &amp; Assurance</w:t>
            </w:r>
            <w:r w:rsidR="00B569FA">
              <w:rPr>
                <w:rFonts w:ascii="Arial" w:hAnsi="Arial" w:cs="Arial"/>
              </w:rPr>
              <w:t>)</w:t>
            </w:r>
            <w:r w:rsidRPr="003C465E">
              <w:rPr>
                <w:rFonts w:ascii="Arial" w:hAnsi="Arial" w:cs="Arial"/>
              </w:rPr>
              <w:t xml:space="preserve"> </w:t>
            </w:r>
          </w:p>
          <w:p w:rsidR="00BC6A16" w:rsidRPr="003C465E" w:rsidRDefault="00BC6A16" w:rsidP="00EA08AA">
            <w:pPr>
              <w:pStyle w:val="ListParagraph"/>
              <w:numPr>
                <w:ilvl w:val="0"/>
                <w:numId w:val="7"/>
              </w:numPr>
              <w:jc w:val="both"/>
              <w:rPr>
                <w:rFonts w:ascii="Arial" w:hAnsi="Arial" w:cs="Arial"/>
              </w:rPr>
            </w:pPr>
            <w:r w:rsidRPr="003C465E">
              <w:rPr>
                <w:rFonts w:ascii="Arial" w:hAnsi="Arial" w:cs="Arial"/>
              </w:rPr>
              <w:t>Adopt the CCG’s programme management approach to manage the processes</w:t>
            </w:r>
          </w:p>
          <w:p w:rsidR="00BC6A16" w:rsidRPr="003C465E" w:rsidRDefault="00BC6A16" w:rsidP="00EA08AA">
            <w:pPr>
              <w:pStyle w:val="ListParagraph"/>
              <w:numPr>
                <w:ilvl w:val="0"/>
                <w:numId w:val="7"/>
              </w:numPr>
              <w:jc w:val="both"/>
              <w:rPr>
                <w:rFonts w:ascii="Arial" w:hAnsi="Arial" w:cs="Arial"/>
              </w:rPr>
            </w:pPr>
            <w:r w:rsidRPr="003C465E">
              <w:rPr>
                <w:rFonts w:ascii="Arial" w:hAnsi="Arial" w:cs="Arial"/>
              </w:rPr>
              <w:t xml:space="preserve">Prepare a </w:t>
            </w:r>
            <w:r w:rsidR="00EC6B18" w:rsidRPr="003C465E">
              <w:rPr>
                <w:rFonts w:ascii="Arial" w:hAnsi="Arial" w:cs="Arial"/>
              </w:rPr>
              <w:t>Business Case</w:t>
            </w:r>
            <w:r w:rsidR="0010670D" w:rsidRPr="003C465E">
              <w:rPr>
                <w:rFonts w:ascii="Arial" w:hAnsi="Arial" w:cs="Arial"/>
              </w:rPr>
              <w:t xml:space="preserve">, including an assessment of impact for the </w:t>
            </w:r>
            <w:r w:rsidR="00EC6B18" w:rsidRPr="003C465E">
              <w:rPr>
                <w:rFonts w:ascii="Arial" w:hAnsi="Arial" w:cs="Arial"/>
              </w:rPr>
              <w:t xml:space="preserve">proposal </w:t>
            </w:r>
            <w:r w:rsidRPr="003C465E">
              <w:rPr>
                <w:rFonts w:ascii="Arial" w:hAnsi="Arial" w:cs="Arial"/>
              </w:rPr>
              <w:t xml:space="preserve">to be presented to the </w:t>
            </w:r>
            <w:r w:rsidR="000631D3">
              <w:rPr>
                <w:rFonts w:ascii="Arial" w:hAnsi="Arial" w:cs="Arial"/>
              </w:rPr>
              <w:t xml:space="preserve">QIPP Delivery Group and </w:t>
            </w:r>
            <w:r w:rsidRPr="003C465E">
              <w:rPr>
                <w:rFonts w:ascii="Arial" w:hAnsi="Arial" w:cs="Arial"/>
              </w:rPr>
              <w:t>Governing Body</w:t>
            </w:r>
          </w:p>
          <w:p w:rsidR="00BC6A16" w:rsidRPr="003C465E" w:rsidRDefault="00BC6A16" w:rsidP="00EA08AA">
            <w:pPr>
              <w:pStyle w:val="ListParagraph"/>
              <w:numPr>
                <w:ilvl w:val="0"/>
                <w:numId w:val="7"/>
              </w:numPr>
              <w:jc w:val="both"/>
              <w:rPr>
                <w:rFonts w:ascii="Arial" w:hAnsi="Arial" w:cs="Arial"/>
              </w:rPr>
            </w:pPr>
            <w:r w:rsidRPr="003C465E">
              <w:rPr>
                <w:rFonts w:ascii="Arial" w:hAnsi="Arial" w:cs="Arial"/>
              </w:rPr>
              <w:t>Ensure that the appropriate risk</w:t>
            </w:r>
            <w:r w:rsidR="003C465E">
              <w:rPr>
                <w:rFonts w:ascii="Arial" w:hAnsi="Arial" w:cs="Arial"/>
              </w:rPr>
              <w:t>s</w:t>
            </w:r>
            <w:r w:rsidRPr="003C465E">
              <w:rPr>
                <w:rFonts w:ascii="Arial" w:hAnsi="Arial" w:cs="Arial"/>
              </w:rPr>
              <w:t xml:space="preserve"> </w:t>
            </w:r>
            <w:r w:rsidR="007347B2" w:rsidRPr="003C465E">
              <w:rPr>
                <w:rFonts w:ascii="Arial" w:hAnsi="Arial" w:cs="Arial"/>
              </w:rPr>
              <w:t>and issues have been identified</w:t>
            </w:r>
          </w:p>
          <w:p w:rsidR="007347B2" w:rsidRDefault="00BC6A16" w:rsidP="00EA08AA">
            <w:pPr>
              <w:pStyle w:val="ListParagraph"/>
              <w:numPr>
                <w:ilvl w:val="0"/>
                <w:numId w:val="7"/>
              </w:numPr>
              <w:jc w:val="both"/>
              <w:rPr>
                <w:rFonts w:ascii="Arial" w:hAnsi="Arial" w:cs="Arial"/>
              </w:rPr>
            </w:pPr>
            <w:r w:rsidRPr="003C465E">
              <w:rPr>
                <w:rFonts w:ascii="Arial" w:hAnsi="Arial" w:cs="Arial"/>
              </w:rPr>
              <w:t>Ensure that all the required analysis has been undertaken on the service, prior to any recommendation to the</w:t>
            </w:r>
            <w:r w:rsidR="000631D3">
              <w:rPr>
                <w:rFonts w:ascii="Arial" w:hAnsi="Arial" w:cs="Arial"/>
              </w:rPr>
              <w:t xml:space="preserve"> QIPP Delivery Group and</w:t>
            </w:r>
            <w:r w:rsidRPr="003C465E">
              <w:rPr>
                <w:rFonts w:ascii="Arial" w:hAnsi="Arial" w:cs="Arial"/>
              </w:rPr>
              <w:t xml:space="preserve"> Governing Body</w:t>
            </w:r>
          </w:p>
          <w:p w:rsidR="00E4058D" w:rsidRPr="00E4058D" w:rsidRDefault="00E4058D" w:rsidP="00EA08AA">
            <w:pPr>
              <w:pStyle w:val="ListParagraph"/>
              <w:numPr>
                <w:ilvl w:val="0"/>
                <w:numId w:val="7"/>
              </w:numPr>
              <w:jc w:val="both"/>
              <w:rPr>
                <w:rFonts w:ascii="Arial" w:hAnsi="Arial" w:cs="Arial"/>
              </w:rPr>
            </w:pPr>
            <w:r w:rsidRPr="00E4058D">
              <w:rPr>
                <w:rFonts w:ascii="Arial" w:hAnsi="Arial" w:cs="Arial"/>
              </w:rPr>
              <w:t>Seek advice from the Finance and Contracting Team regarding contract terms, extension or termination terms and other contract related issues.</w:t>
            </w:r>
          </w:p>
          <w:p w:rsidR="000631D3" w:rsidRPr="003C465E" w:rsidRDefault="000631D3" w:rsidP="00EA08AA">
            <w:pPr>
              <w:pStyle w:val="ListParagraph"/>
              <w:numPr>
                <w:ilvl w:val="0"/>
                <w:numId w:val="7"/>
              </w:numPr>
              <w:jc w:val="both"/>
              <w:rPr>
                <w:rFonts w:ascii="Arial" w:hAnsi="Arial" w:cs="Arial"/>
              </w:rPr>
            </w:pPr>
            <w:r>
              <w:rPr>
                <w:rFonts w:ascii="Arial" w:hAnsi="Arial" w:cs="Arial"/>
              </w:rPr>
              <w:t xml:space="preserve">Seek advice from the Communications and Engagement Team and ensure that appropriate engagement takes place </w:t>
            </w:r>
          </w:p>
          <w:p w:rsidR="00CA45EE" w:rsidRPr="003C465E" w:rsidRDefault="00BC6A16" w:rsidP="00EA08AA">
            <w:pPr>
              <w:pStyle w:val="ListParagraph"/>
              <w:numPr>
                <w:ilvl w:val="0"/>
                <w:numId w:val="7"/>
              </w:numPr>
              <w:jc w:val="both"/>
              <w:rPr>
                <w:rFonts w:ascii="Arial" w:hAnsi="Arial" w:cs="Arial"/>
              </w:rPr>
            </w:pPr>
            <w:r w:rsidRPr="003C465E">
              <w:rPr>
                <w:rFonts w:ascii="Arial" w:hAnsi="Arial" w:cs="Arial"/>
              </w:rPr>
              <w:t>Ensure that the evidence behind why the case is being proposed for a</w:t>
            </w:r>
            <w:r w:rsidR="0024230A" w:rsidRPr="003C465E">
              <w:rPr>
                <w:rFonts w:ascii="Arial" w:hAnsi="Arial" w:cs="Arial"/>
              </w:rPr>
              <w:t xml:space="preserve"> decommissioning</w:t>
            </w:r>
            <w:r w:rsidRPr="003C465E">
              <w:rPr>
                <w:rFonts w:ascii="Arial" w:hAnsi="Arial" w:cs="Arial"/>
              </w:rPr>
              <w:t xml:space="preserve"> decision is evident and appropriate.</w:t>
            </w:r>
          </w:p>
          <w:p w:rsidR="007347B2" w:rsidRPr="003C465E" w:rsidRDefault="007347B2" w:rsidP="003C465E">
            <w:pPr>
              <w:pStyle w:val="ListParagraph"/>
              <w:jc w:val="both"/>
              <w:rPr>
                <w:rFonts w:ascii="Arial" w:hAnsi="Arial" w:cs="Arial"/>
              </w:rPr>
            </w:pPr>
          </w:p>
        </w:tc>
      </w:tr>
      <w:tr w:rsidR="00AC4636" w:rsidRPr="000631D3">
        <w:tc>
          <w:tcPr>
            <w:tcW w:w="642" w:type="dxa"/>
            <w:tcBorders>
              <w:top w:val="nil"/>
              <w:left w:val="nil"/>
              <w:bottom w:val="nil"/>
              <w:right w:val="nil"/>
            </w:tcBorders>
          </w:tcPr>
          <w:p w:rsidR="00CA45EE" w:rsidRPr="000631D3" w:rsidRDefault="00CA45EE" w:rsidP="00CA7398">
            <w:pPr>
              <w:jc w:val="both"/>
              <w:rPr>
                <w:rFonts w:ascii="Arial" w:hAnsi="Arial" w:cs="Arial"/>
              </w:rPr>
            </w:pPr>
          </w:p>
        </w:tc>
        <w:tc>
          <w:tcPr>
            <w:tcW w:w="805" w:type="dxa"/>
            <w:tcBorders>
              <w:top w:val="nil"/>
              <w:left w:val="nil"/>
              <w:bottom w:val="nil"/>
              <w:right w:val="nil"/>
            </w:tcBorders>
          </w:tcPr>
          <w:p w:rsidR="00CA45EE" w:rsidRPr="000631D3" w:rsidRDefault="00CA45EE" w:rsidP="00CA7398">
            <w:pPr>
              <w:jc w:val="both"/>
              <w:rPr>
                <w:rFonts w:ascii="Arial" w:hAnsi="Arial" w:cs="Arial"/>
              </w:rPr>
            </w:pPr>
          </w:p>
        </w:tc>
        <w:tc>
          <w:tcPr>
            <w:tcW w:w="984" w:type="dxa"/>
            <w:tcBorders>
              <w:top w:val="nil"/>
              <w:left w:val="nil"/>
              <w:bottom w:val="nil"/>
              <w:right w:val="nil"/>
            </w:tcBorders>
          </w:tcPr>
          <w:p w:rsidR="00CA45EE" w:rsidRPr="000631D3" w:rsidRDefault="009B216F" w:rsidP="00CA7398">
            <w:pPr>
              <w:jc w:val="both"/>
              <w:rPr>
                <w:rFonts w:ascii="Arial" w:hAnsi="Arial" w:cs="Arial"/>
              </w:rPr>
            </w:pPr>
            <w:r w:rsidRPr="000631D3">
              <w:rPr>
                <w:rFonts w:ascii="Arial" w:hAnsi="Arial" w:cs="Arial"/>
              </w:rPr>
              <w:t>7.1.</w:t>
            </w:r>
            <w:r w:rsidR="000631D3">
              <w:rPr>
                <w:rFonts w:ascii="Arial" w:hAnsi="Arial" w:cs="Arial"/>
              </w:rPr>
              <w:t>8</w:t>
            </w:r>
          </w:p>
        </w:tc>
        <w:tc>
          <w:tcPr>
            <w:tcW w:w="6811" w:type="dxa"/>
            <w:tcBorders>
              <w:top w:val="nil"/>
              <w:left w:val="nil"/>
              <w:bottom w:val="nil"/>
              <w:right w:val="nil"/>
            </w:tcBorders>
          </w:tcPr>
          <w:p w:rsidR="00CA45EE" w:rsidRPr="000631D3" w:rsidRDefault="00CA45EE" w:rsidP="00CA45EE">
            <w:pPr>
              <w:jc w:val="both"/>
              <w:rPr>
                <w:rFonts w:ascii="Arial" w:hAnsi="Arial" w:cs="Arial"/>
                <w:b/>
              </w:rPr>
            </w:pPr>
            <w:r w:rsidRPr="000631D3">
              <w:rPr>
                <w:rFonts w:ascii="Arial" w:hAnsi="Arial" w:cs="Arial"/>
                <w:b/>
              </w:rPr>
              <w:t>Quality Team</w:t>
            </w:r>
          </w:p>
          <w:p w:rsidR="007347B2" w:rsidRPr="000631D3" w:rsidRDefault="007347B2" w:rsidP="007347B2">
            <w:pPr>
              <w:jc w:val="both"/>
              <w:rPr>
                <w:rFonts w:ascii="Arial" w:hAnsi="Arial" w:cs="Arial"/>
              </w:rPr>
            </w:pPr>
            <w:r w:rsidRPr="000631D3">
              <w:rPr>
                <w:rFonts w:ascii="Arial" w:hAnsi="Arial" w:cs="Arial"/>
              </w:rPr>
              <w:t xml:space="preserve">The Quality Team will work with the </w:t>
            </w:r>
            <w:r w:rsidR="009235F4" w:rsidRPr="000631D3">
              <w:rPr>
                <w:rFonts w:ascii="Arial" w:hAnsi="Arial" w:cs="Arial"/>
              </w:rPr>
              <w:t>project team</w:t>
            </w:r>
            <w:r w:rsidRPr="000631D3">
              <w:rPr>
                <w:rFonts w:ascii="Arial" w:hAnsi="Arial" w:cs="Arial"/>
              </w:rPr>
              <w:t xml:space="preserve"> proposing the decommissioning of service(s) to</w:t>
            </w:r>
            <w:r w:rsidR="0010670D" w:rsidRPr="000631D3">
              <w:rPr>
                <w:rFonts w:ascii="Arial" w:hAnsi="Arial" w:cs="Arial"/>
              </w:rPr>
              <w:t xml:space="preserve"> undertake a Quality Impact Assessment</w:t>
            </w:r>
            <w:r w:rsidRPr="000631D3">
              <w:rPr>
                <w:rFonts w:ascii="Arial" w:hAnsi="Arial" w:cs="Arial"/>
              </w:rPr>
              <w:t xml:space="preserve"> </w:t>
            </w:r>
            <w:r w:rsidR="0010670D" w:rsidRPr="000631D3">
              <w:rPr>
                <w:rFonts w:ascii="Arial" w:hAnsi="Arial" w:cs="Arial"/>
              </w:rPr>
              <w:t xml:space="preserve">identifying any </w:t>
            </w:r>
            <w:r w:rsidRPr="000631D3">
              <w:rPr>
                <w:rFonts w:ascii="Arial" w:hAnsi="Arial" w:cs="Arial"/>
              </w:rPr>
              <w:t>direct or indirect negative impact</w:t>
            </w:r>
            <w:r w:rsidR="0010670D" w:rsidRPr="000631D3">
              <w:rPr>
                <w:rFonts w:ascii="Arial" w:hAnsi="Arial" w:cs="Arial"/>
              </w:rPr>
              <w:t>s</w:t>
            </w:r>
            <w:r w:rsidRPr="000631D3">
              <w:rPr>
                <w:rFonts w:ascii="Arial" w:hAnsi="Arial" w:cs="Arial"/>
              </w:rPr>
              <w:t xml:space="preserve"> on patient safety or the quality of any other related service</w:t>
            </w:r>
            <w:r w:rsidR="0010670D" w:rsidRPr="000631D3">
              <w:rPr>
                <w:rFonts w:ascii="Arial" w:hAnsi="Arial" w:cs="Arial"/>
              </w:rPr>
              <w:t xml:space="preserve"> as a result of the proposal</w:t>
            </w:r>
            <w:r w:rsidRPr="000631D3">
              <w:rPr>
                <w:rFonts w:ascii="Arial" w:hAnsi="Arial" w:cs="Arial"/>
              </w:rPr>
              <w:t>.</w:t>
            </w:r>
          </w:p>
          <w:p w:rsidR="00B945F3" w:rsidRPr="000631D3" w:rsidRDefault="00B945F3" w:rsidP="007347B2">
            <w:pPr>
              <w:jc w:val="both"/>
              <w:rPr>
                <w:rFonts w:ascii="Arial" w:hAnsi="Arial" w:cs="Arial"/>
              </w:rPr>
            </w:pPr>
          </w:p>
        </w:tc>
      </w:tr>
      <w:tr w:rsidR="00AC4636" w:rsidRPr="000631D3">
        <w:tc>
          <w:tcPr>
            <w:tcW w:w="642" w:type="dxa"/>
            <w:tcBorders>
              <w:top w:val="nil"/>
              <w:left w:val="nil"/>
              <w:bottom w:val="nil"/>
              <w:right w:val="nil"/>
            </w:tcBorders>
          </w:tcPr>
          <w:p w:rsidR="00CA45EE" w:rsidRPr="000631D3" w:rsidRDefault="00CA45EE" w:rsidP="00CA7398">
            <w:pPr>
              <w:jc w:val="both"/>
              <w:rPr>
                <w:rFonts w:ascii="Arial" w:hAnsi="Arial" w:cs="Arial"/>
              </w:rPr>
            </w:pPr>
          </w:p>
        </w:tc>
        <w:tc>
          <w:tcPr>
            <w:tcW w:w="805" w:type="dxa"/>
            <w:tcBorders>
              <w:top w:val="nil"/>
              <w:left w:val="nil"/>
              <w:bottom w:val="nil"/>
              <w:right w:val="nil"/>
            </w:tcBorders>
          </w:tcPr>
          <w:p w:rsidR="00CA45EE" w:rsidRPr="000631D3" w:rsidRDefault="00CA45EE" w:rsidP="00CA7398">
            <w:pPr>
              <w:jc w:val="both"/>
              <w:rPr>
                <w:rFonts w:ascii="Arial" w:hAnsi="Arial" w:cs="Arial"/>
              </w:rPr>
            </w:pPr>
          </w:p>
        </w:tc>
        <w:tc>
          <w:tcPr>
            <w:tcW w:w="984" w:type="dxa"/>
            <w:tcBorders>
              <w:top w:val="nil"/>
              <w:left w:val="nil"/>
              <w:bottom w:val="nil"/>
              <w:right w:val="nil"/>
            </w:tcBorders>
          </w:tcPr>
          <w:p w:rsidR="00CA45EE" w:rsidRPr="000631D3" w:rsidRDefault="009B216F" w:rsidP="00CA7398">
            <w:pPr>
              <w:jc w:val="both"/>
              <w:rPr>
                <w:rFonts w:ascii="Arial" w:hAnsi="Arial" w:cs="Arial"/>
              </w:rPr>
            </w:pPr>
            <w:r w:rsidRPr="000631D3">
              <w:rPr>
                <w:rFonts w:ascii="Arial" w:hAnsi="Arial" w:cs="Arial"/>
              </w:rPr>
              <w:t>7.1.</w:t>
            </w:r>
            <w:r w:rsidR="000631D3" w:rsidRPr="000631D3">
              <w:rPr>
                <w:rFonts w:ascii="Arial" w:hAnsi="Arial" w:cs="Arial"/>
              </w:rPr>
              <w:t>9</w:t>
            </w:r>
          </w:p>
        </w:tc>
        <w:tc>
          <w:tcPr>
            <w:tcW w:w="6811" w:type="dxa"/>
            <w:tcBorders>
              <w:top w:val="nil"/>
              <w:left w:val="nil"/>
              <w:bottom w:val="nil"/>
              <w:right w:val="nil"/>
            </w:tcBorders>
          </w:tcPr>
          <w:p w:rsidR="00CA45EE" w:rsidRPr="000631D3" w:rsidRDefault="00CA45EE" w:rsidP="00CA45EE">
            <w:pPr>
              <w:jc w:val="both"/>
              <w:rPr>
                <w:rFonts w:ascii="Arial" w:hAnsi="Arial" w:cs="Arial"/>
                <w:b/>
              </w:rPr>
            </w:pPr>
            <w:r w:rsidRPr="000631D3">
              <w:rPr>
                <w:rFonts w:ascii="Arial" w:hAnsi="Arial" w:cs="Arial"/>
                <w:b/>
              </w:rPr>
              <w:t>Finance Team</w:t>
            </w:r>
          </w:p>
          <w:p w:rsidR="00CA45EE" w:rsidRPr="000631D3" w:rsidRDefault="007347B2" w:rsidP="007347B2">
            <w:pPr>
              <w:jc w:val="both"/>
              <w:rPr>
                <w:rFonts w:ascii="Arial" w:hAnsi="Arial" w:cs="Arial"/>
              </w:rPr>
            </w:pPr>
            <w:r w:rsidRPr="000631D3">
              <w:rPr>
                <w:rFonts w:ascii="Arial" w:hAnsi="Arial" w:cs="Arial"/>
              </w:rPr>
              <w:t>The Finance Team will review expenditure agains</w:t>
            </w:r>
            <w:r w:rsidR="009235F4" w:rsidRPr="000631D3">
              <w:rPr>
                <w:rFonts w:ascii="Arial" w:hAnsi="Arial" w:cs="Arial"/>
              </w:rPr>
              <w:t>t health outcomes to identify</w:t>
            </w:r>
            <w:r w:rsidRPr="000631D3">
              <w:rPr>
                <w:rFonts w:ascii="Arial" w:hAnsi="Arial" w:cs="Arial"/>
              </w:rPr>
              <w:t xml:space="preserve"> service areas to be reviewed.</w:t>
            </w:r>
            <w:r w:rsidR="009235F4" w:rsidRPr="000631D3">
              <w:rPr>
                <w:rFonts w:ascii="Arial" w:hAnsi="Arial" w:cs="Arial"/>
              </w:rPr>
              <w:t xml:space="preserve"> </w:t>
            </w:r>
            <w:r w:rsidR="000631D3">
              <w:rPr>
                <w:rFonts w:ascii="Arial" w:hAnsi="Arial" w:cs="Arial"/>
              </w:rPr>
              <w:t xml:space="preserve"> </w:t>
            </w:r>
            <w:r w:rsidR="009235F4" w:rsidRPr="000631D3">
              <w:rPr>
                <w:rFonts w:ascii="Arial" w:hAnsi="Arial" w:cs="Arial"/>
              </w:rPr>
              <w:t>They will also work with the project team proposing the decommissioning of service(s) to quantify the financial implications of the proposal.</w:t>
            </w:r>
          </w:p>
          <w:p w:rsidR="007347B2" w:rsidRPr="000631D3" w:rsidRDefault="007347B2" w:rsidP="007347B2">
            <w:pPr>
              <w:jc w:val="both"/>
              <w:rPr>
                <w:rFonts w:ascii="Arial" w:hAnsi="Arial" w:cs="Arial"/>
              </w:rPr>
            </w:pPr>
          </w:p>
        </w:tc>
      </w:tr>
      <w:tr w:rsidR="00AC4636" w:rsidRPr="000631D3">
        <w:tc>
          <w:tcPr>
            <w:tcW w:w="642" w:type="dxa"/>
            <w:tcBorders>
              <w:top w:val="nil"/>
              <w:left w:val="nil"/>
              <w:bottom w:val="nil"/>
              <w:right w:val="nil"/>
            </w:tcBorders>
          </w:tcPr>
          <w:p w:rsidR="00CA45EE" w:rsidRPr="000631D3" w:rsidRDefault="00CA45EE" w:rsidP="00CA7398">
            <w:pPr>
              <w:jc w:val="both"/>
              <w:rPr>
                <w:rFonts w:ascii="Arial" w:hAnsi="Arial" w:cs="Arial"/>
              </w:rPr>
            </w:pPr>
          </w:p>
        </w:tc>
        <w:tc>
          <w:tcPr>
            <w:tcW w:w="805" w:type="dxa"/>
            <w:tcBorders>
              <w:top w:val="nil"/>
              <w:left w:val="nil"/>
              <w:bottom w:val="nil"/>
              <w:right w:val="nil"/>
            </w:tcBorders>
          </w:tcPr>
          <w:p w:rsidR="00CA45EE" w:rsidRPr="000631D3" w:rsidRDefault="00CA45EE" w:rsidP="00CA7398">
            <w:pPr>
              <w:jc w:val="both"/>
              <w:rPr>
                <w:rFonts w:ascii="Arial" w:hAnsi="Arial" w:cs="Arial"/>
              </w:rPr>
            </w:pPr>
          </w:p>
        </w:tc>
        <w:tc>
          <w:tcPr>
            <w:tcW w:w="984" w:type="dxa"/>
            <w:tcBorders>
              <w:top w:val="nil"/>
              <w:left w:val="nil"/>
              <w:bottom w:val="nil"/>
              <w:right w:val="nil"/>
            </w:tcBorders>
          </w:tcPr>
          <w:p w:rsidR="00CA45EE" w:rsidRPr="000631D3" w:rsidRDefault="009B216F" w:rsidP="00CA7398">
            <w:pPr>
              <w:jc w:val="both"/>
              <w:rPr>
                <w:rFonts w:ascii="Arial" w:hAnsi="Arial" w:cs="Arial"/>
              </w:rPr>
            </w:pPr>
            <w:r w:rsidRPr="000631D3">
              <w:rPr>
                <w:rFonts w:ascii="Arial" w:hAnsi="Arial" w:cs="Arial"/>
              </w:rPr>
              <w:t>7.1.</w:t>
            </w:r>
            <w:r w:rsidR="000631D3" w:rsidRPr="000631D3">
              <w:rPr>
                <w:rFonts w:ascii="Arial" w:hAnsi="Arial" w:cs="Arial"/>
              </w:rPr>
              <w:t>10</w:t>
            </w:r>
          </w:p>
        </w:tc>
        <w:tc>
          <w:tcPr>
            <w:tcW w:w="6811" w:type="dxa"/>
            <w:tcBorders>
              <w:top w:val="nil"/>
              <w:left w:val="nil"/>
              <w:bottom w:val="nil"/>
              <w:right w:val="nil"/>
            </w:tcBorders>
          </w:tcPr>
          <w:p w:rsidR="00CA45EE" w:rsidRPr="000631D3" w:rsidRDefault="00CA45EE" w:rsidP="00CA45EE">
            <w:pPr>
              <w:jc w:val="both"/>
              <w:rPr>
                <w:rFonts w:ascii="Arial" w:hAnsi="Arial" w:cs="Arial"/>
                <w:b/>
              </w:rPr>
            </w:pPr>
            <w:r w:rsidRPr="000631D3">
              <w:rPr>
                <w:rFonts w:ascii="Arial" w:hAnsi="Arial" w:cs="Arial"/>
                <w:b/>
              </w:rPr>
              <w:t>Business Intelligence Team</w:t>
            </w:r>
          </w:p>
          <w:p w:rsidR="00893BA1" w:rsidRPr="000631D3" w:rsidRDefault="00CD5FEC" w:rsidP="00893BA1">
            <w:pPr>
              <w:jc w:val="both"/>
              <w:rPr>
                <w:rFonts w:ascii="Arial" w:hAnsi="Arial" w:cs="Arial"/>
              </w:rPr>
            </w:pPr>
            <w:r>
              <w:rPr>
                <w:rFonts w:ascii="Arial" w:hAnsi="Arial" w:cs="Arial"/>
              </w:rPr>
              <w:t>T</w:t>
            </w:r>
            <w:r w:rsidR="00893BA1" w:rsidRPr="000631D3">
              <w:rPr>
                <w:rFonts w:ascii="Arial" w:hAnsi="Arial" w:cs="Arial"/>
              </w:rPr>
              <w:t>he Business Intelligence Team will provide key performance information to ensure that services are appropriately reviewed.</w:t>
            </w:r>
            <w:r w:rsidR="000631D3" w:rsidRPr="000631D3">
              <w:rPr>
                <w:rFonts w:ascii="Arial" w:hAnsi="Arial" w:cs="Arial"/>
              </w:rPr>
              <w:t xml:space="preserve"> </w:t>
            </w:r>
            <w:r w:rsidR="00893BA1" w:rsidRPr="000631D3">
              <w:rPr>
                <w:rFonts w:ascii="Arial" w:hAnsi="Arial" w:cs="Arial"/>
              </w:rPr>
              <w:t xml:space="preserve">The information behind a decision to decommission </w:t>
            </w:r>
            <w:r w:rsidR="00893BA1" w:rsidRPr="000631D3">
              <w:rPr>
                <w:rFonts w:ascii="Arial" w:hAnsi="Arial" w:cs="Arial"/>
              </w:rPr>
              <w:lastRenderedPageBreak/>
              <w:t>must be of high quality, be auditable and able to be presented as evidence which can withstand challenge should the decision be disputed.</w:t>
            </w:r>
          </w:p>
          <w:p w:rsidR="00893BA1" w:rsidRPr="000631D3" w:rsidRDefault="00893BA1" w:rsidP="00893BA1">
            <w:pPr>
              <w:jc w:val="both"/>
              <w:rPr>
                <w:rFonts w:ascii="Arial" w:hAnsi="Arial" w:cs="Arial"/>
              </w:rPr>
            </w:pPr>
          </w:p>
          <w:p w:rsidR="00893BA1" w:rsidRPr="000631D3" w:rsidRDefault="00893BA1" w:rsidP="00893BA1">
            <w:pPr>
              <w:jc w:val="both"/>
              <w:rPr>
                <w:rFonts w:ascii="Arial" w:hAnsi="Arial" w:cs="Arial"/>
              </w:rPr>
            </w:pPr>
            <w:r w:rsidRPr="000631D3">
              <w:rPr>
                <w:rFonts w:ascii="Arial" w:hAnsi="Arial" w:cs="Arial"/>
              </w:rPr>
              <w:t>The team will look for areas of:</w:t>
            </w:r>
          </w:p>
          <w:p w:rsidR="00893BA1" w:rsidRPr="000631D3" w:rsidRDefault="00195EF9" w:rsidP="00EA08AA">
            <w:pPr>
              <w:pStyle w:val="ListParagraph"/>
              <w:numPr>
                <w:ilvl w:val="0"/>
                <w:numId w:val="8"/>
              </w:numPr>
              <w:jc w:val="both"/>
              <w:rPr>
                <w:rFonts w:ascii="Arial" w:hAnsi="Arial" w:cs="Arial"/>
              </w:rPr>
            </w:pPr>
            <w:r>
              <w:rPr>
                <w:rFonts w:ascii="Arial" w:hAnsi="Arial" w:cs="Arial"/>
              </w:rPr>
              <w:t xml:space="preserve">Under </w:t>
            </w:r>
            <w:r w:rsidR="00893BA1" w:rsidRPr="000631D3">
              <w:rPr>
                <w:rFonts w:ascii="Arial" w:hAnsi="Arial" w:cs="Arial"/>
              </w:rPr>
              <w:t>performance against targets</w:t>
            </w:r>
          </w:p>
          <w:p w:rsidR="00893BA1" w:rsidRPr="000631D3" w:rsidRDefault="00893BA1" w:rsidP="00EA08AA">
            <w:pPr>
              <w:pStyle w:val="ListParagraph"/>
              <w:numPr>
                <w:ilvl w:val="0"/>
                <w:numId w:val="8"/>
              </w:numPr>
              <w:jc w:val="both"/>
              <w:rPr>
                <w:rFonts w:ascii="Arial" w:hAnsi="Arial" w:cs="Arial"/>
              </w:rPr>
            </w:pPr>
            <w:r w:rsidRPr="000631D3">
              <w:rPr>
                <w:rFonts w:ascii="Arial" w:hAnsi="Arial" w:cs="Arial"/>
              </w:rPr>
              <w:t>Poor health outcomes</w:t>
            </w:r>
          </w:p>
          <w:p w:rsidR="00893BA1" w:rsidRPr="000631D3" w:rsidRDefault="00195EF9" w:rsidP="00EA08AA">
            <w:pPr>
              <w:pStyle w:val="ListParagraph"/>
              <w:numPr>
                <w:ilvl w:val="0"/>
                <w:numId w:val="8"/>
              </w:numPr>
              <w:jc w:val="both"/>
              <w:rPr>
                <w:rFonts w:ascii="Arial" w:hAnsi="Arial" w:cs="Arial"/>
              </w:rPr>
            </w:pPr>
            <w:r>
              <w:rPr>
                <w:rFonts w:ascii="Arial" w:hAnsi="Arial" w:cs="Arial"/>
              </w:rPr>
              <w:t>Failure to deliver</w:t>
            </w:r>
            <w:r w:rsidR="00893BA1" w:rsidRPr="000631D3">
              <w:rPr>
                <w:rFonts w:ascii="Arial" w:hAnsi="Arial" w:cs="Arial"/>
              </w:rPr>
              <w:t xml:space="preserve"> value for money</w:t>
            </w:r>
          </w:p>
          <w:p w:rsidR="00893BA1" w:rsidRPr="000631D3" w:rsidRDefault="00893BA1" w:rsidP="00EA08AA">
            <w:pPr>
              <w:pStyle w:val="ListParagraph"/>
              <w:numPr>
                <w:ilvl w:val="0"/>
                <w:numId w:val="8"/>
              </w:numPr>
              <w:jc w:val="both"/>
              <w:rPr>
                <w:rFonts w:ascii="Arial" w:hAnsi="Arial" w:cs="Arial"/>
              </w:rPr>
            </w:pPr>
            <w:r w:rsidRPr="000631D3">
              <w:rPr>
                <w:rFonts w:ascii="Arial" w:hAnsi="Arial" w:cs="Arial"/>
              </w:rPr>
              <w:t>Inequality of service provision</w:t>
            </w:r>
          </w:p>
          <w:p w:rsidR="00CA45EE" w:rsidRPr="000631D3" w:rsidRDefault="00893BA1" w:rsidP="00EA08AA">
            <w:pPr>
              <w:pStyle w:val="ListParagraph"/>
              <w:numPr>
                <w:ilvl w:val="0"/>
                <w:numId w:val="8"/>
              </w:numPr>
              <w:jc w:val="both"/>
              <w:rPr>
                <w:rFonts w:ascii="Arial" w:hAnsi="Arial" w:cs="Arial"/>
              </w:rPr>
            </w:pPr>
            <w:r w:rsidRPr="000631D3">
              <w:rPr>
                <w:rFonts w:ascii="Arial" w:hAnsi="Arial" w:cs="Arial"/>
              </w:rPr>
              <w:t>Reduced impact on health outcomes and identify potential areas for resources to be redirected to achieve better health outcomes for the population we serve.</w:t>
            </w:r>
          </w:p>
          <w:p w:rsidR="009235F4" w:rsidRPr="000631D3" w:rsidRDefault="009235F4" w:rsidP="009235F4">
            <w:pPr>
              <w:pStyle w:val="ListParagraph"/>
              <w:jc w:val="both"/>
              <w:rPr>
                <w:rFonts w:ascii="Arial" w:hAnsi="Arial" w:cs="Arial"/>
              </w:rPr>
            </w:pPr>
          </w:p>
        </w:tc>
      </w:tr>
      <w:tr w:rsidR="00AC4636" w:rsidRPr="000631D3">
        <w:tc>
          <w:tcPr>
            <w:tcW w:w="642" w:type="dxa"/>
            <w:tcBorders>
              <w:top w:val="nil"/>
              <w:left w:val="nil"/>
              <w:bottom w:val="nil"/>
              <w:right w:val="nil"/>
            </w:tcBorders>
          </w:tcPr>
          <w:p w:rsidR="00CA45EE" w:rsidRPr="000631D3" w:rsidRDefault="00CA45EE" w:rsidP="00CA7398">
            <w:pPr>
              <w:jc w:val="both"/>
              <w:rPr>
                <w:rFonts w:ascii="Arial" w:hAnsi="Arial" w:cs="Arial"/>
              </w:rPr>
            </w:pPr>
          </w:p>
        </w:tc>
        <w:tc>
          <w:tcPr>
            <w:tcW w:w="805" w:type="dxa"/>
            <w:tcBorders>
              <w:top w:val="nil"/>
              <w:left w:val="nil"/>
              <w:bottom w:val="nil"/>
              <w:right w:val="nil"/>
            </w:tcBorders>
          </w:tcPr>
          <w:p w:rsidR="00CA45EE" w:rsidRPr="000631D3" w:rsidRDefault="00CA45EE" w:rsidP="00CA7398">
            <w:pPr>
              <w:jc w:val="both"/>
              <w:rPr>
                <w:rFonts w:ascii="Arial" w:hAnsi="Arial" w:cs="Arial"/>
              </w:rPr>
            </w:pPr>
          </w:p>
        </w:tc>
        <w:tc>
          <w:tcPr>
            <w:tcW w:w="984" w:type="dxa"/>
            <w:tcBorders>
              <w:top w:val="nil"/>
              <w:left w:val="nil"/>
              <w:bottom w:val="nil"/>
              <w:right w:val="nil"/>
            </w:tcBorders>
          </w:tcPr>
          <w:p w:rsidR="00CA45EE" w:rsidRPr="000631D3" w:rsidRDefault="009B216F" w:rsidP="00CA7398">
            <w:pPr>
              <w:jc w:val="both"/>
              <w:rPr>
                <w:rFonts w:ascii="Arial" w:hAnsi="Arial" w:cs="Arial"/>
              </w:rPr>
            </w:pPr>
            <w:r w:rsidRPr="000631D3">
              <w:rPr>
                <w:rFonts w:ascii="Arial" w:hAnsi="Arial" w:cs="Arial"/>
              </w:rPr>
              <w:t>7.1.1</w:t>
            </w:r>
            <w:r w:rsidR="000631D3">
              <w:rPr>
                <w:rFonts w:ascii="Arial" w:hAnsi="Arial" w:cs="Arial"/>
              </w:rPr>
              <w:t>1</w:t>
            </w:r>
          </w:p>
        </w:tc>
        <w:tc>
          <w:tcPr>
            <w:tcW w:w="6811" w:type="dxa"/>
            <w:tcBorders>
              <w:top w:val="nil"/>
              <w:left w:val="nil"/>
              <w:bottom w:val="nil"/>
              <w:right w:val="nil"/>
            </w:tcBorders>
          </w:tcPr>
          <w:p w:rsidR="00CA45EE" w:rsidRPr="000631D3" w:rsidRDefault="00CA45EE" w:rsidP="00CA45EE">
            <w:pPr>
              <w:jc w:val="both"/>
              <w:rPr>
                <w:rFonts w:ascii="Arial" w:hAnsi="Arial" w:cs="Arial"/>
                <w:b/>
              </w:rPr>
            </w:pPr>
            <w:r w:rsidRPr="000631D3">
              <w:rPr>
                <w:rFonts w:ascii="Arial" w:hAnsi="Arial" w:cs="Arial"/>
                <w:b/>
              </w:rPr>
              <w:t>Communications &amp; Engagement Team</w:t>
            </w:r>
          </w:p>
          <w:p w:rsidR="00893BA1" w:rsidRPr="000631D3" w:rsidRDefault="000631D3" w:rsidP="00893BA1">
            <w:pPr>
              <w:jc w:val="both"/>
              <w:rPr>
                <w:rFonts w:ascii="Arial" w:hAnsi="Arial" w:cs="Arial"/>
              </w:rPr>
            </w:pPr>
            <w:r w:rsidRPr="000631D3">
              <w:rPr>
                <w:rFonts w:ascii="Arial" w:hAnsi="Arial" w:cs="Arial"/>
              </w:rPr>
              <w:t xml:space="preserve">When considering </w:t>
            </w:r>
            <w:r w:rsidR="00D3444C">
              <w:rPr>
                <w:rFonts w:ascii="Arial" w:hAnsi="Arial" w:cs="Arial"/>
              </w:rPr>
              <w:t xml:space="preserve">undertaking any service review, including where the outcome may be </w:t>
            </w:r>
            <w:r w:rsidRPr="000631D3">
              <w:rPr>
                <w:rFonts w:ascii="Arial" w:hAnsi="Arial" w:cs="Arial"/>
              </w:rPr>
              <w:t xml:space="preserve">to decommission </w:t>
            </w:r>
            <w:r w:rsidR="00893BA1" w:rsidRPr="000631D3">
              <w:rPr>
                <w:rFonts w:ascii="Arial" w:hAnsi="Arial" w:cs="Arial"/>
              </w:rPr>
              <w:t>a service, the</w:t>
            </w:r>
            <w:r w:rsidRPr="000631D3">
              <w:rPr>
                <w:rFonts w:ascii="Arial" w:hAnsi="Arial" w:cs="Arial"/>
              </w:rPr>
              <w:t xml:space="preserve"> project team </w:t>
            </w:r>
            <w:r w:rsidR="00893BA1" w:rsidRPr="000631D3">
              <w:rPr>
                <w:rFonts w:ascii="Arial" w:hAnsi="Arial" w:cs="Arial"/>
              </w:rPr>
              <w:t xml:space="preserve">needs to seek expert advice from the </w:t>
            </w:r>
            <w:r w:rsidRPr="000631D3">
              <w:rPr>
                <w:rFonts w:ascii="Arial" w:hAnsi="Arial" w:cs="Arial"/>
              </w:rPr>
              <w:t>C</w:t>
            </w:r>
            <w:r w:rsidR="00893BA1" w:rsidRPr="000631D3">
              <w:rPr>
                <w:rFonts w:ascii="Arial" w:hAnsi="Arial" w:cs="Arial"/>
              </w:rPr>
              <w:t>ommunications</w:t>
            </w:r>
            <w:r w:rsidRPr="000631D3">
              <w:rPr>
                <w:rFonts w:ascii="Arial" w:hAnsi="Arial" w:cs="Arial"/>
              </w:rPr>
              <w:t xml:space="preserve"> &amp; Engagement T</w:t>
            </w:r>
            <w:r w:rsidR="00893BA1" w:rsidRPr="000631D3">
              <w:rPr>
                <w:rFonts w:ascii="Arial" w:hAnsi="Arial" w:cs="Arial"/>
              </w:rPr>
              <w:t xml:space="preserve">eam in relation to whether any engagement / consultation exercise is required </w:t>
            </w:r>
            <w:r w:rsidR="00812EE7">
              <w:rPr>
                <w:rFonts w:ascii="Arial" w:hAnsi="Arial" w:cs="Arial"/>
              </w:rPr>
              <w:t xml:space="preserve">in line </w:t>
            </w:r>
            <w:r w:rsidR="00893BA1" w:rsidRPr="000631D3">
              <w:rPr>
                <w:rFonts w:ascii="Arial" w:hAnsi="Arial" w:cs="Arial"/>
              </w:rPr>
              <w:t>with Section 242 of the NHS Act (2006).</w:t>
            </w:r>
          </w:p>
          <w:p w:rsidR="00893BA1" w:rsidRPr="000631D3" w:rsidRDefault="00893BA1" w:rsidP="00893BA1">
            <w:pPr>
              <w:jc w:val="both"/>
              <w:rPr>
                <w:rFonts w:ascii="Arial" w:hAnsi="Arial" w:cs="Arial"/>
              </w:rPr>
            </w:pPr>
          </w:p>
          <w:p w:rsidR="00893BA1" w:rsidRPr="000631D3" w:rsidRDefault="000723A5" w:rsidP="00893BA1">
            <w:pPr>
              <w:jc w:val="both"/>
              <w:rPr>
                <w:rFonts w:ascii="Arial" w:hAnsi="Arial" w:cs="Arial"/>
              </w:rPr>
            </w:pPr>
            <w:r w:rsidRPr="000631D3">
              <w:rPr>
                <w:rFonts w:ascii="Arial" w:hAnsi="Arial" w:cs="Arial"/>
              </w:rPr>
              <w:t xml:space="preserve">This advice must be sought at the earliest possible opportunity due to the length of time required to determine the appropriate level of meaningful engagement and public consultation and </w:t>
            </w:r>
            <w:r w:rsidR="00CD5FEC">
              <w:rPr>
                <w:rFonts w:ascii="Arial" w:hAnsi="Arial" w:cs="Arial"/>
              </w:rPr>
              <w:t xml:space="preserve">to </w:t>
            </w:r>
            <w:r w:rsidRPr="000631D3">
              <w:rPr>
                <w:rFonts w:ascii="Arial" w:hAnsi="Arial" w:cs="Arial"/>
              </w:rPr>
              <w:t>give sufficient time and information for people to input into and inform the decision making process.</w:t>
            </w:r>
            <w:r w:rsidR="00CD5FEC">
              <w:rPr>
                <w:rFonts w:ascii="Arial" w:hAnsi="Arial" w:cs="Arial"/>
              </w:rPr>
              <w:t xml:space="preserve">  </w:t>
            </w:r>
          </w:p>
          <w:p w:rsidR="00893BA1" w:rsidRPr="000631D3" w:rsidRDefault="00893BA1" w:rsidP="00893BA1">
            <w:pPr>
              <w:jc w:val="both"/>
              <w:rPr>
                <w:rFonts w:ascii="Arial" w:hAnsi="Arial" w:cs="Arial"/>
              </w:rPr>
            </w:pPr>
          </w:p>
          <w:p w:rsidR="00CA45EE" w:rsidRPr="000631D3" w:rsidRDefault="00893BA1" w:rsidP="00893BA1">
            <w:pPr>
              <w:jc w:val="both"/>
              <w:rPr>
                <w:rFonts w:ascii="Arial" w:hAnsi="Arial" w:cs="Arial"/>
              </w:rPr>
            </w:pPr>
            <w:r w:rsidRPr="000631D3">
              <w:rPr>
                <w:rFonts w:ascii="Arial" w:hAnsi="Arial" w:cs="Arial"/>
              </w:rPr>
              <w:t>The timescales required plus other guidance on engagement/ consultation criteria can be found through national best practice guidance</w:t>
            </w:r>
            <w:r w:rsidR="004D216B">
              <w:rPr>
                <w:rFonts w:ascii="Arial" w:hAnsi="Arial" w:cs="Arial"/>
              </w:rPr>
              <w:t xml:space="preserve">, </w:t>
            </w:r>
            <w:r w:rsidR="004D216B" w:rsidRPr="004D216B">
              <w:rPr>
                <w:rFonts w:ascii="Arial" w:hAnsi="Arial" w:cs="Arial"/>
                <w:i/>
              </w:rPr>
              <w:t>Patient and Public Participation in Commissioning Health and Care: Statutory Guidance for CCGs and NHS England</w:t>
            </w:r>
            <w:r w:rsidRPr="004D216B">
              <w:rPr>
                <w:rFonts w:ascii="Arial" w:hAnsi="Arial" w:cs="Arial"/>
              </w:rPr>
              <w:t>.</w:t>
            </w:r>
            <w:r w:rsidR="00CD5FEC">
              <w:rPr>
                <w:rFonts w:ascii="Arial" w:hAnsi="Arial" w:cs="Arial"/>
              </w:rPr>
              <w:t xml:space="preserve">  All involvement, engagement and consultation activity will be undertaken in line with the CCG Patient and Public Involvement Strategy.</w:t>
            </w:r>
          </w:p>
          <w:p w:rsidR="00702DAC" w:rsidRPr="000631D3" w:rsidRDefault="00702DAC" w:rsidP="00893BA1">
            <w:pPr>
              <w:jc w:val="both"/>
              <w:rPr>
                <w:rFonts w:ascii="Arial" w:hAnsi="Arial" w:cs="Arial"/>
              </w:rPr>
            </w:pPr>
          </w:p>
        </w:tc>
      </w:tr>
      <w:tr w:rsidR="00AC4636" w:rsidRPr="000631D3">
        <w:tc>
          <w:tcPr>
            <w:tcW w:w="642" w:type="dxa"/>
            <w:tcBorders>
              <w:top w:val="nil"/>
              <w:left w:val="nil"/>
              <w:bottom w:val="nil"/>
              <w:right w:val="nil"/>
            </w:tcBorders>
          </w:tcPr>
          <w:p w:rsidR="00CA45EE" w:rsidRPr="000631D3" w:rsidRDefault="00CA45EE" w:rsidP="00CA7398">
            <w:pPr>
              <w:jc w:val="both"/>
              <w:rPr>
                <w:rFonts w:ascii="Arial" w:hAnsi="Arial" w:cs="Arial"/>
              </w:rPr>
            </w:pPr>
          </w:p>
        </w:tc>
        <w:tc>
          <w:tcPr>
            <w:tcW w:w="805" w:type="dxa"/>
            <w:tcBorders>
              <w:top w:val="nil"/>
              <w:left w:val="nil"/>
              <w:bottom w:val="nil"/>
              <w:right w:val="nil"/>
            </w:tcBorders>
          </w:tcPr>
          <w:p w:rsidR="00CA45EE" w:rsidRPr="000631D3" w:rsidRDefault="00CA45EE" w:rsidP="00CA7398">
            <w:pPr>
              <w:jc w:val="both"/>
              <w:rPr>
                <w:rFonts w:ascii="Arial" w:hAnsi="Arial" w:cs="Arial"/>
              </w:rPr>
            </w:pPr>
          </w:p>
        </w:tc>
        <w:tc>
          <w:tcPr>
            <w:tcW w:w="984" w:type="dxa"/>
            <w:tcBorders>
              <w:top w:val="nil"/>
              <w:left w:val="nil"/>
              <w:bottom w:val="nil"/>
              <w:right w:val="nil"/>
            </w:tcBorders>
          </w:tcPr>
          <w:p w:rsidR="00CA45EE" w:rsidRPr="000631D3" w:rsidRDefault="009B216F" w:rsidP="00CA7398">
            <w:pPr>
              <w:jc w:val="both"/>
              <w:rPr>
                <w:rFonts w:ascii="Arial" w:hAnsi="Arial" w:cs="Arial"/>
              </w:rPr>
            </w:pPr>
            <w:r w:rsidRPr="000631D3">
              <w:rPr>
                <w:rFonts w:ascii="Arial" w:hAnsi="Arial" w:cs="Arial"/>
              </w:rPr>
              <w:t>7.1.1</w:t>
            </w:r>
            <w:r w:rsidR="000631D3">
              <w:rPr>
                <w:rFonts w:ascii="Arial" w:hAnsi="Arial" w:cs="Arial"/>
              </w:rPr>
              <w:t>2</w:t>
            </w:r>
          </w:p>
        </w:tc>
        <w:tc>
          <w:tcPr>
            <w:tcW w:w="6811" w:type="dxa"/>
            <w:tcBorders>
              <w:top w:val="nil"/>
              <w:left w:val="nil"/>
              <w:bottom w:val="nil"/>
              <w:right w:val="nil"/>
            </w:tcBorders>
          </w:tcPr>
          <w:p w:rsidR="00CA45EE" w:rsidRPr="000631D3" w:rsidRDefault="00CA45EE" w:rsidP="00CA45EE">
            <w:pPr>
              <w:jc w:val="both"/>
              <w:rPr>
                <w:rFonts w:ascii="Arial" w:hAnsi="Arial" w:cs="Arial"/>
              </w:rPr>
            </w:pPr>
            <w:r w:rsidRPr="000631D3">
              <w:rPr>
                <w:rFonts w:ascii="Arial" w:hAnsi="Arial" w:cs="Arial"/>
                <w:b/>
              </w:rPr>
              <w:t xml:space="preserve">Procurement </w:t>
            </w:r>
            <w:r w:rsidR="00702DAC" w:rsidRPr="000631D3">
              <w:rPr>
                <w:rFonts w:ascii="Arial" w:hAnsi="Arial" w:cs="Arial"/>
                <w:b/>
              </w:rPr>
              <w:t>Leads</w:t>
            </w:r>
          </w:p>
          <w:p w:rsidR="00CA45EE" w:rsidRPr="000631D3" w:rsidRDefault="00702DAC" w:rsidP="00702DAC">
            <w:pPr>
              <w:jc w:val="both"/>
              <w:rPr>
                <w:rFonts w:ascii="Arial" w:hAnsi="Arial" w:cs="Arial"/>
              </w:rPr>
            </w:pPr>
            <w:r w:rsidRPr="000631D3">
              <w:rPr>
                <w:rFonts w:ascii="Arial" w:hAnsi="Arial" w:cs="Arial"/>
              </w:rPr>
              <w:t>The CCG’s Procurement Lead, supported by our specialist procurement advisors, will ensure that the rules and principles relating to any decommiss</w:t>
            </w:r>
            <w:r w:rsidR="0024230A" w:rsidRPr="000631D3">
              <w:rPr>
                <w:rFonts w:ascii="Arial" w:hAnsi="Arial" w:cs="Arial"/>
              </w:rPr>
              <w:t xml:space="preserve">ioning </w:t>
            </w:r>
            <w:r w:rsidRPr="000631D3">
              <w:rPr>
                <w:rFonts w:ascii="Arial" w:hAnsi="Arial" w:cs="Arial"/>
              </w:rPr>
              <w:t>activity will follow the principles and rules of cooperation and competition. They will also ensure market assessments are completed to analyse any impact on the provider market.</w:t>
            </w:r>
          </w:p>
          <w:p w:rsidR="00702DAC" w:rsidRPr="000631D3" w:rsidRDefault="00702DAC" w:rsidP="00702DAC">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9B216F" w:rsidP="0051083D">
            <w:pPr>
              <w:jc w:val="both"/>
              <w:rPr>
                <w:rFonts w:ascii="Arial" w:hAnsi="Arial" w:cs="Arial"/>
                <w:b/>
              </w:rPr>
            </w:pPr>
            <w:r>
              <w:rPr>
                <w:rFonts w:ascii="Arial" w:hAnsi="Arial" w:cs="Arial"/>
                <w:b/>
              </w:rPr>
              <w:t>8</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Procedure</w:t>
            </w:r>
          </w:p>
          <w:p w:rsidR="00DF364D" w:rsidRPr="004231B6" w:rsidRDefault="00DF364D"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9B216F" w:rsidP="00CA7398">
            <w:pPr>
              <w:jc w:val="both"/>
              <w:rPr>
                <w:rFonts w:ascii="Arial" w:hAnsi="Arial" w:cs="Arial"/>
              </w:rPr>
            </w:pPr>
            <w:r>
              <w:rPr>
                <w:rFonts w:ascii="Arial" w:hAnsi="Arial" w:cs="Arial"/>
              </w:rPr>
              <w:t>8</w:t>
            </w:r>
            <w:r w:rsidR="008A50B0" w:rsidRPr="004231B6">
              <w:rPr>
                <w:rFonts w:ascii="Arial" w:hAnsi="Arial" w:cs="Arial"/>
              </w:rPr>
              <w:t>.1</w:t>
            </w:r>
          </w:p>
        </w:tc>
        <w:tc>
          <w:tcPr>
            <w:tcW w:w="7795" w:type="dxa"/>
            <w:gridSpan w:val="2"/>
            <w:tcBorders>
              <w:top w:val="nil"/>
              <w:left w:val="nil"/>
              <w:bottom w:val="nil"/>
              <w:right w:val="nil"/>
            </w:tcBorders>
          </w:tcPr>
          <w:p w:rsidR="007A2DDD" w:rsidRPr="007A2DDD" w:rsidRDefault="007A2DDD" w:rsidP="007A2DDD">
            <w:pPr>
              <w:jc w:val="both"/>
              <w:rPr>
                <w:rFonts w:ascii="Arial" w:hAnsi="Arial" w:cs="Arial"/>
                <w:b/>
              </w:rPr>
            </w:pPr>
            <w:r w:rsidRPr="007A2DDD">
              <w:rPr>
                <w:rFonts w:ascii="Arial" w:hAnsi="Arial" w:cs="Arial"/>
                <w:b/>
              </w:rPr>
              <w:t>Timeline</w:t>
            </w:r>
          </w:p>
          <w:p w:rsidR="008A50B0" w:rsidRPr="004231B6" w:rsidRDefault="007A2DDD" w:rsidP="007A2DDD">
            <w:pPr>
              <w:jc w:val="both"/>
              <w:rPr>
                <w:rFonts w:ascii="Arial" w:hAnsi="Arial" w:cs="Arial"/>
              </w:rPr>
            </w:pPr>
            <w:r w:rsidRPr="007A2DDD">
              <w:rPr>
                <w:rFonts w:ascii="Arial" w:hAnsi="Arial" w:cs="Arial"/>
              </w:rPr>
              <w:t xml:space="preserve">The </w:t>
            </w:r>
            <w:r w:rsidR="0010670D">
              <w:rPr>
                <w:rFonts w:ascii="Arial" w:hAnsi="Arial" w:cs="Arial"/>
              </w:rPr>
              <w:t xml:space="preserve">project timeline for any QIPP project, including those which </w:t>
            </w:r>
            <w:r w:rsidR="00D3444C">
              <w:rPr>
                <w:rFonts w:ascii="Arial" w:hAnsi="Arial" w:cs="Arial"/>
              </w:rPr>
              <w:t xml:space="preserve">may </w:t>
            </w:r>
            <w:r w:rsidR="0010670D">
              <w:rPr>
                <w:rFonts w:ascii="Arial" w:hAnsi="Arial" w:cs="Arial"/>
              </w:rPr>
              <w:t>include d</w:t>
            </w:r>
            <w:r w:rsidRPr="007A2DDD">
              <w:rPr>
                <w:rFonts w:ascii="Arial" w:hAnsi="Arial" w:cs="Arial"/>
              </w:rPr>
              <w:t xml:space="preserve">ecommissioning </w:t>
            </w:r>
            <w:r w:rsidR="0010670D">
              <w:rPr>
                <w:rFonts w:ascii="Arial" w:hAnsi="Arial" w:cs="Arial"/>
              </w:rPr>
              <w:t>of a service or part of a service</w:t>
            </w:r>
            <w:r w:rsidR="000631D3">
              <w:rPr>
                <w:rFonts w:ascii="Arial" w:hAnsi="Arial" w:cs="Arial"/>
              </w:rPr>
              <w:t>,</w:t>
            </w:r>
            <w:r w:rsidR="0010670D">
              <w:rPr>
                <w:rFonts w:ascii="Arial" w:hAnsi="Arial" w:cs="Arial"/>
              </w:rPr>
              <w:t xml:space="preserve"> will be developed and included in the </w:t>
            </w:r>
            <w:r w:rsidR="00CD5FEC">
              <w:rPr>
                <w:rFonts w:ascii="Arial" w:hAnsi="Arial" w:cs="Arial"/>
              </w:rPr>
              <w:t>Project Plans</w:t>
            </w:r>
            <w:r w:rsidR="0010670D">
              <w:rPr>
                <w:rFonts w:ascii="Arial" w:hAnsi="Arial" w:cs="Arial"/>
              </w:rPr>
              <w:t>.</w:t>
            </w:r>
            <w:r w:rsidR="00F83290">
              <w:rPr>
                <w:rFonts w:ascii="Arial" w:hAnsi="Arial" w:cs="Arial"/>
              </w:rPr>
              <w:t xml:space="preserve"> </w:t>
            </w:r>
            <w:r w:rsidR="00D3444C">
              <w:rPr>
                <w:rFonts w:ascii="Arial" w:hAnsi="Arial" w:cs="Arial"/>
              </w:rPr>
              <w:t xml:space="preserve"> The stages of the project and the decision making process will be in line with the CCG Programme and Project Management Framework.</w:t>
            </w:r>
          </w:p>
          <w:p w:rsidR="008A50B0" w:rsidRPr="004231B6" w:rsidRDefault="008A50B0" w:rsidP="00CA7398">
            <w:pPr>
              <w:jc w:val="both"/>
              <w:rPr>
                <w:rFonts w:ascii="Arial" w:hAnsi="Arial" w:cs="Arial"/>
              </w:rPr>
            </w:pPr>
          </w:p>
        </w:tc>
      </w:tr>
      <w:tr w:rsidR="007A2DDD" w:rsidRPr="004231B6">
        <w:tc>
          <w:tcPr>
            <w:tcW w:w="642" w:type="dxa"/>
            <w:tcBorders>
              <w:top w:val="nil"/>
              <w:left w:val="nil"/>
              <w:bottom w:val="nil"/>
              <w:right w:val="nil"/>
            </w:tcBorders>
          </w:tcPr>
          <w:p w:rsidR="007A2DDD" w:rsidRPr="004231B6" w:rsidRDefault="007A2DDD" w:rsidP="00CA7398">
            <w:pPr>
              <w:jc w:val="both"/>
              <w:rPr>
                <w:rFonts w:ascii="Arial" w:hAnsi="Arial" w:cs="Arial"/>
              </w:rPr>
            </w:pPr>
          </w:p>
        </w:tc>
        <w:tc>
          <w:tcPr>
            <w:tcW w:w="805" w:type="dxa"/>
            <w:tcBorders>
              <w:top w:val="nil"/>
              <w:left w:val="nil"/>
              <w:bottom w:val="nil"/>
              <w:right w:val="nil"/>
            </w:tcBorders>
          </w:tcPr>
          <w:p w:rsidR="007A2DDD" w:rsidRPr="004231B6" w:rsidRDefault="009B216F" w:rsidP="00CA7398">
            <w:pPr>
              <w:jc w:val="both"/>
              <w:rPr>
                <w:rFonts w:ascii="Arial" w:hAnsi="Arial" w:cs="Arial"/>
              </w:rPr>
            </w:pPr>
            <w:r>
              <w:rPr>
                <w:rFonts w:ascii="Arial" w:hAnsi="Arial" w:cs="Arial"/>
              </w:rPr>
              <w:t>8</w:t>
            </w:r>
            <w:r w:rsidR="007A2DDD">
              <w:rPr>
                <w:rFonts w:ascii="Arial" w:hAnsi="Arial" w:cs="Arial"/>
              </w:rPr>
              <w:t>.2</w:t>
            </w:r>
          </w:p>
        </w:tc>
        <w:tc>
          <w:tcPr>
            <w:tcW w:w="7795" w:type="dxa"/>
            <w:gridSpan w:val="2"/>
            <w:tcBorders>
              <w:top w:val="nil"/>
              <w:left w:val="nil"/>
              <w:bottom w:val="nil"/>
              <w:right w:val="nil"/>
            </w:tcBorders>
          </w:tcPr>
          <w:p w:rsidR="007A2DDD" w:rsidRPr="007A2DDD" w:rsidRDefault="007A2DDD" w:rsidP="007A2DDD">
            <w:pPr>
              <w:jc w:val="both"/>
              <w:rPr>
                <w:rFonts w:ascii="Arial" w:hAnsi="Arial" w:cs="Arial"/>
                <w:b/>
              </w:rPr>
            </w:pPr>
            <w:r w:rsidRPr="007A2DDD">
              <w:rPr>
                <w:rFonts w:ascii="Arial" w:hAnsi="Arial" w:cs="Arial"/>
                <w:b/>
              </w:rPr>
              <w:t>Identification of service(s) for review</w:t>
            </w:r>
          </w:p>
          <w:p w:rsidR="007A2DDD" w:rsidRDefault="007A2DDD" w:rsidP="007A2DDD">
            <w:pPr>
              <w:jc w:val="both"/>
              <w:rPr>
                <w:rFonts w:ascii="Arial" w:hAnsi="Arial" w:cs="Arial"/>
              </w:rPr>
            </w:pPr>
            <w:r w:rsidRPr="007A2DDD">
              <w:rPr>
                <w:rFonts w:ascii="Arial" w:hAnsi="Arial" w:cs="Arial"/>
              </w:rPr>
              <w:t>The Process for identifying services for review and potential decommissioning needs to be systematic and there are a number of mechanisms utilised to evidence the need for review.</w:t>
            </w:r>
          </w:p>
          <w:p w:rsidR="00F83290" w:rsidRPr="004231B6" w:rsidRDefault="00F83290" w:rsidP="007C624B">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p>
        </w:tc>
        <w:tc>
          <w:tcPr>
            <w:tcW w:w="984" w:type="dxa"/>
            <w:tcBorders>
              <w:top w:val="nil"/>
              <w:left w:val="nil"/>
              <w:bottom w:val="nil"/>
              <w:right w:val="nil"/>
            </w:tcBorders>
          </w:tcPr>
          <w:p w:rsidR="008A50B0" w:rsidRPr="004231B6" w:rsidRDefault="009B216F" w:rsidP="00CA7398">
            <w:pPr>
              <w:jc w:val="both"/>
              <w:rPr>
                <w:rFonts w:ascii="Arial" w:hAnsi="Arial" w:cs="Arial"/>
              </w:rPr>
            </w:pPr>
            <w:r>
              <w:rPr>
                <w:rFonts w:ascii="Arial" w:hAnsi="Arial" w:cs="Arial"/>
              </w:rPr>
              <w:t>8</w:t>
            </w:r>
            <w:r w:rsidR="007C624B">
              <w:rPr>
                <w:rFonts w:ascii="Arial" w:hAnsi="Arial" w:cs="Arial"/>
              </w:rPr>
              <w:t>.2.1</w:t>
            </w:r>
          </w:p>
        </w:tc>
        <w:tc>
          <w:tcPr>
            <w:tcW w:w="6811" w:type="dxa"/>
            <w:tcBorders>
              <w:top w:val="nil"/>
              <w:left w:val="nil"/>
              <w:bottom w:val="nil"/>
              <w:right w:val="nil"/>
            </w:tcBorders>
          </w:tcPr>
          <w:p w:rsidR="007C624B" w:rsidRPr="007C624B" w:rsidRDefault="007C624B" w:rsidP="007C624B">
            <w:pPr>
              <w:jc w:val="both"/>
              <w:rPr>
                <w:rFonts w:ascii="Arial" w:hAnsi="Arial" w:cs="Arial"/>
              </w:rPr>
            </w:pPr>
            <w:r w:rsidRPr="007C624B">
              <w:rPr>
                <w:rFonts w:ascii="Arial" w:hAnsi="Arial" w:cs="Arial"/>
              </w:rPr>
              <w:t>Each commissioned service</w:t>
            </w:r>
            <w:r w:rsidR="00F83290">
              <w:rPr>
                <w:rFonts w:ascii="Arial" w:hAnsi="Arial" w:cs="Arial"/>
              </w:rPr>
              <w:t xml:space="preserve"> </w:t>
            </w:r>
            <w:r w:rsidRPr="007C624B">
              <w:rPr>
                <w:rFonts w:ascii="Arial" w:hAnsi="Arial" w:cs="Arial"/>
              </w:rPr>
              <w:t xml:space="preserve">shall initially </w:t>
            </w:r>
            <w:r w:rsidR="00F83290">
              <w:rPr>
                <w:rFonts w:ascii="Arial" w:hAnsi="Arial" w:cs="Arial"/>
              </w:rPr>
              <w:t xml:space="preserve">be </w:t>
            </w:r>
            <w:r w:rsidR="00812EE7">
              <w:rPr>
                <w:rFonts w:ascii="Arial" w:hAnsi="Arial" w:cs="Arial"/>
              </w:rPr>
              <w:t>reviewed to confirm whether</w:t>
            </w:r>
            <w:r w:rsidRPr="007C624B">
              <w:rPr>
                <w:rFonts w:ascii="Arial" w:hAnsi="Arial" w:cs="Arial"/>
              </w:rPr>
              <w:t xml:space="preserve"> the service is p</w:t>
            </w:r>
            <w:r>
              <w:rPr>
                <w:rFonts w:ascii="Arial" w:hAnsi="Arial" w:cs="Arial"/>
              </w:rPr>
              <w:t xml:space="preserve">erforming </w:t>
            </w:r>
            <w:r w:rsidR="00812EE7">
              <w:rPr>
                <w:rFonts w:ascii="Arial" w:hAnsi="Arial" w:cs="Arial"/>
              </w:rPr>
              <w:t>in line with expectations</w:t>
            </w:r>
            <w:r>
              <w:rPr>
                <w:rFonts w:ascii="Arial" w:hAnsi="Arial" w:cs="Arial"/>
              </w:rPr>
              <w:t xml:space="preserve">. </w:t>
            </w:r>
            <w:r w:rsidRPr="007C624B">
              <w:rPr>
                <w:rFonts w:ascii="Arial" w:hAnsi="Arial" w:cs="Arial"/>
              </w:rPr>
              <w:t>The CCG can then identify commissioned services that:</w:t>
            </w:r>
          </w:p>
          <w:p w:rsidR="007C624B" w:rsidRPr="007C624B" w:rsidRDefault="007C624B" w:rsidP="007C624B">
            <w:pPr>
              <w:jc w:val="both"/>
              <w:rPr>
                <w:rFonts w:ascii="Arial" w:hAnsi="Arial" w:cs="Arial"/>
              </w:rPr>
            </w:pPr>
          </w:p>
          <w:p w:rsidR="007C624B" w:rsidRDefault="006A5690" w:rsidP="00EA08AA">
            <w:pPr>
              <w:pStyle w:val="ListParagraph"/>
              <w:numPr>
                <w:ilvl w:val="0"/>
                <w:numId w:val="9"/>
              </w:numPr>
              <w:jc w:val="both"/>
              <w:rPr>
                <w:rFonts w:ascii="Arial" w:hAnsi="Arial" w:cs="Arial"/>
              </w:rPr>
            </w:pPr>
            <w:r>
              <w:rPr>
                <w:rFonts w:ascii="Arial" w:hAnsi="Arial" w:cs="Arial"/>
              </w:rPr>
              <w:t>Do not meet</w:t>
            </w:r>
            <w:r w:rsidR="007C624B" w:rsidRPr="007C624B">
              <w:rPr>
                <w:rFonts w:ascii="Arial" w:hAnsi="Arial" w:cs="Arial"/>
              </w:rPr>
              <w:t xml:space="preserve"> the needs of the populatio</w:t>
            </w:r>
            <w:r w:rsidR="007C624B">
              <w:rPr>
                <w:rFonts w:ascii="Arial" w:hAnsi="Arial" w:cs="Arial"/>
              </w:rPr>
              <w:t>n</w:t>
            </w:r>
          </w:p>
          <w:p w:rsidR="007C624B" w:rsidRDefault="007C624B" w:rsidP="00EA08AA">
            <w:pPr>
              <w:pStyle w:val="ListParagraph"/>
              <w:numPr>
                <w:ilvl w:val="0"/>
                <w:numId w:val="9"/>
              </w:numPr>
              <w:jc w:val="both"/>
              <w:rPr>
                <w:rFonts w:ascii="Arial" w:hAnsi="Arial" w:cs="Arial"/>
              </w:rPr>
            </w:pPr>
            <w:r>
              <w:rPr>
                <w:rFonts w:ascii="Arial" w:hAnsi="Arial" w:cs="Arial"/>
              </w:rPr>
              <w:t>Are o</w:t>
            </w:r>
            <w:r w:rsidRPr="007C624B">
              <w:rPr>
                <w:rFonts w:ascii="Arial" w:hAnsi="Arial" w:cs="Arial"/>
              </w:rPr>
              <w:t>f low quality</w:t>
            </w:r>
            <w:r w:rsidR="004413D0">
              <w:rPr>
                <w:rFonts w:ascii="Arial" w:hAnsi="Arial" w:cs="Arial"/>
              </w:rPr>
              <w:t xml:space="preserve"> </w:t>
            </w:r>
            <w:r w:rsidRPr="007C624B">
              <w:rPr>
                <w:rFonts w:ascii="Arial" w:hAnsi="Arial" w:cs="Arial"/>
              </w:rPr>
              <w:t xml:space="preserve">and do </w:t>
            </w:r>
            <w:r>
              <w:rPr>
                <w:rFonts w:ascii="Arial" w:hAnsi="Arial" w:cs="Arial"/>
              </w:rPr>
              <w:t>not demonstrate value for money</w:t>
            </w:r>
          </w:p>
          <w:p w:rsidR="007C624B" w:rsidRDefault="007C624B" w:rsidP="00EA08AA">
            <w:pPr>
              <w:pStyle w:val="ListParagraph"/>
              <w:numPr>
                <w:ilvl w:val="0"/>
                <w:numId w:val="9"/>
              </w:numPr>
              <w:jc w:val="both"/>
              <w:rPr>
                <w:rFonts w:ascii="Arial" w:hAnsi="Arial" w:cs="Arial"/>
              </w:rPr>
            </w:pPr>
            <w:r>
              <w:rPr>
                <w:rFonts w:ascii="Arial" w:hAnsi="Arial" w:cs="Arial"/>
              </w:rPr>
              <w:t>Have high expenditure and poor outcomes</w:t>
            </w:r>
          </w:p>
          <w:p w:rsidR="007C624B" w:rsidRDefault="007C624B" w:rsidP="00EA08AA">
            <w:pPr>
              <w:pStyle w:val="ListParagraph"/>
              <w:numPr>
                <w:ilvl w:val="0"/>
                <w:numId w:val="9"/>
              </w:numPr>
              <w:jc w:val="both"/>
              <w:rPr>
                <w:rFonts w:ascii="Arial" w:hAnsi="Arial" w:cs="Arial"/>
              </w:rPr>
            </w:pPr>
            <w:r>
              <w:rPr>
                <w:rFonts w:ascii="Arial" w:hAnsi="Arial" w:cs="Arial"/>
              </w:rPr>
              <w:t>Have</w:t>
            </w:r>
            <w:r w:rsidRPr="007C624B">
              <w:rPr>
                <w:rFonts w:ascii="Arial" w:hAnsi="Arial" w:cs="Arial"/>
              </w:rPr>
              <w:t xml:space="preserve"> continued poor performance identified through the contract monitoring process and / or feedback fro</w:t>
            </w:r>
            <w:r>
              <w:rPr>
                <w:rFonts w:ascii="Arial" w:hAnsi="Arial" w:cs="Arial"/>
              </w:rPr>
              <w:t>m patients, public and partners</w:t>
            </w:r>
          </w:p>
          <w:p w:rsidR="007C624B" w:rsidRDefault="007C624B" w:rsidP="00EA08AA">
            <w:pPr>
              <w:pStyle w:val="ListParagraph"/>
              <w:numPr>
                <w:ilvl w:val="0"/>
                <w:numId w:val="9"/>
              </w:numPr>
              <w:jc w:val="both"/>
              <w:rPr>
                <w:rFonts w:ascii="Arial" w:hAnsi="Arial" w:cs="Arial"/>
              </w:rPr>
            </w:pPr>
            <w:r w:rsidRPr="007C624B">
              <w:rPr>
                <w:rFonts w:ascii="Arial" w:hAnsi="Arial" w:cs="Arial"/>
              </w:rPr>
              <w:t>Do not maximise the health gain that could be achieved by re</w:t>
            </w:r>
            <w:r>
              <w:rPr>
                <w:rFonts w:ascii="Arial" w:hAnsi="Arial" w:cs="Arial"/>
              </w:rPr>
              <w:t>investing the funding elsewhere</w:t>
            </w:r>
          </w:p>
          <w:p w:rsidR="007C624B" w:rsidRDefault="007C624B" w:rsidP="00EA08AA">
            <w:pPr>
              <w:pStyle w:val="ListParagraph"/>
              <w:numPr>
                <w:ilvl w:val="0"/>
                <w:numId w:val="9"/>
              </w:numPr>
              <w:jc w:val="both"/>
              <w:rPr>
                <w:rFonts w:ascii="Arial" w:hAnsi="Arial" w:cs="Arial"/>
              </w:rPr>
            </w:pPr>
            <w:r w:rsidRPr="007C624B">
              <w:rPr>
                <w:rFonts w:ascii="Arial" w:hAnsi="Arial" w:cs="Arial"/>
              </w:rPr>
              <w:t>Do not meet the standar</w:t>
            </w:r>
            <w:r>
              <w:rPr>
                <w:rFonts w:ascii="Arial" w:hAnsi="Arial" w:cs="Arial"/>
              </w:rPr>
              <w:t>ds of a modern NHS e</w:t>
            </w:r>
            <w:r w:rsidR="00F05075">
              <w:rPr>
                <w:rFonts w:ascii="Arial" w:hAnsi="Arial" w:cs="Arial"/>
              </w:rPr>
              <w:t>.</w:t>
            </w:r>
            <w:r>
              <w:rPr>
                <w:rFonts w:ascii="Arial" w:hAnsi="Arial" w:cs="Arial"/>
              </w:rPr>
              <w:t>g</w:t>
            </w:r>
            <w:r w:rsidR="00F05075">
              <w:rPr>
                <w:rFonts w:ascii="Arial" w:hAnsi="Arial" w:cs="Arial"/>
              </w:rPr>
              <w:t>.</w:t>
            </w:r>
            <w:r w:rsidRPr="007C624B">
              <w:rPr>
                <w:rFonts w:ascii="Arial" w:hAnsi="Arial" w:cs="Arial"/>
              </w:rPr>
              <w:t>:</w:t>
            </w:r>
          </w:p>
          <w:p w:rsidR="007C624B" w:rsidRDefault="007C624B" w:rsidP="00EA08AA">
            <w:pPr>
              <w:pStyle w:val="ListParagraph"/>
              <w:numPr>
                <w:ilvl w:val="1"/>
                <w:numId w:val="9"/>
              </w:numPr>
              <w:jc w:val="both"/>
              <w:rPr>
                <w:rFonts w:ascii="Arial" w:hAnsi="Arial" w:cs="Arial"/>
              </w:rPr>
            </w:pPr>
            <w:r>
              <w:rPr>
                <w:rFonts w:ascii="Arial" w:hAnsi="Arial" w:cs="Arial"/>
              </w:rPr>
              <w:t>Evidence based alternative, innovative forms of service provisions are available</w:t>
            </w:r>
            <w:r w:rsidR="004413D0">
              <w:rPr>
                <w:rFonts w:ascii="Arial" w:hAnsi="Arial" w:cs="Arial"/>
              </w:rPr>
              <w:t xml:space="preserve"> to improve access or outcomes</w:t>
            </w:r>
          </w:p>
          <w:p w:rsidR="007C624B" w:rsidRPr="007C624B" w:rsidRDefault="007C624B" w:rsidP="00EA08AA">
            <w:pPr>
              <w:pStyle w:val="ListParagraph"/>
              <w:numPr>
                <w:ilvl w:val="1"/>
                <w:numId w:val="9"/>
              </w:numPr>
              <w:jc w:val="both"/>
              <w:rPr>
                <w:rFonts w:ascii="Arial" w:hAnsi="Arial" w:cs="Arial"/>
              </w:rPr>
            </w:pPr>
            <w:r w:rsidRPr="007C624B">
              <w:rPr>
                <w:rFonts w:ascii="Arial" w:hAnsi="Arial" w:cs="Arial"/>
              </w:rPr>
              <w:t>National policy or guidance requires change in service delivery.</w:t>
            </w:r>
          </w:p>
          <w:p w:rsidR="008A50B0" w:rsidRPr="004413D0" w:rsidRDefault="007C624B" w:rsidP="004413D0">
            <w:pPr>
              <w:pStyle w:val="ListParagraph"/>
              <w:numPr>
                <w:ilvl w:val="0"/>
                <w:numId w:val="9"/>
              </w:numPr>
              <w:jc w:val="both"/>
              <w:rPr>
                <w:rFonts w:ascii="Arial" w:hAnsi="Arial" w:cs="Arial"/>
              </w:rPr>
            </w:pPr>
            <w:r w:rsidRPr="007C624B">
              <w:rPr>
                <w:rFonts w:ascii="Arial" w:hAnsi="Arial" w:cs="Arial"/>
              </w:rPr>
              <w:t>The service is one with limited clinical evidence</w:t>
            </w:r>
            <w:r w:rsidRPr="004413D0">
              <w:rPr>
                <w:rFonts w:ascii="Arial" w:hAnsi="Arial" w:cs="Arial"/>
              </w:rPr>
              <w:t>, quality or safety.</w:t>
            </w:r>
          </w:p>
          <w:p w:rsidR="007C624B" w:rsidRPr="004231B6" w:rsidRDefault="007C624B" w:rsidP="007C624B">
            <w:pPr>
              <w:jc w:val="both"/>
              <w:rPr>
                <w:rFonts w:ascii="Arial" w:hAnsi="Arial" w:cs="Arial"/>
              </w:rPr>
            </w:pPr>
          </w:p>
        </w:tc>
      </w:tr>
      <w:tr w:rsidR="000223A8" w:rsidRPr="004231B6" w:rsidTr="00EE70D4">
        <w:tc>
          <w:tcPr>
            <w:tcW w:w="642" w:type="dxa"/>
            <w:tcBorders>
              <w:top w:val="nil"/>
              <w:left w:val="nil"/>
              <w:bottom w:val="nil"/>
              <w:right w:val="nil"/>
            </w:tcBorders>
          </w:tcPr>
          <w:p w:rsidR="000223A8" w:rsidRPr="004231B6" w:rsidRDefault="000223A8" w:rsidP="00EE70D4">
            <w:pPr>
              <w:jc w:val="both"/>
              <w:rPr>
                <w:rFonts w:ascii="Arial" w:hAnsi="Arial" w:cs="Arial"/>
              </w:rPr>
            </w:pPr>
          </w:p>
        </w:tc>
        <w:tc>
          <w:tcPr>
            <w:tcW w:w="805" w:type="dxa"/>
            <w:tcBorders>
              <w:top w:val="nil"/>
              <w:left w:val="nil"/>
              <w:bottom w:val="nil"/>
              <w:right w:val="nil"/>
            </w:tcBorders>
          </w:tcPr>
          <w:p w:rsidR="000223A8" w:rsidRPr="004231B6" w:rsidRDefault="009B216F" w:rsidP="00EE70D4">
            <w:pPr>
              <w:jc w:val="both"/>
              <w:rPr>
                <w:rFonts w:ascii="Arial" w:hAnsi="Arial" w:cs="Arial"/>
              </w:rPr>
            </w:pPr>
            <w:r>
              <w:rPr>
                <w:rFonts w:ascii="Arial" w:hAnsi="Arial" w:cs="Arial"/>
              </w:rPr>
              <w:t>8</w:t>
            </w:r>
            <w:r w:rsidR="000223A8">
              <w:rPr>
                <w:rFonts w:ascii="Arial" w:hAnsi="Arial" w:cs="Arial"/>
              </w:rPr>
              <w:t>.3</w:t>
            </w:r>
          </w:p>
        </w:tc>
        <w:tc>
          <w:tcPr>
            <w:tcW w:w="7795" w:type="dxa"/>
            <w:gridSpan w:val="2"/>
            <w:tcBorders>
              <w:top w:val="nil"/>
              <w:left w:val="nil"/>
              <w:bottom w:val="nil"/>
              <w:right w:val="nil"/>
            </w:tcBorders>
          </w:tcPr>
          <w:p w:rsidR="000223A8" w:rsidRPr="000223A8" w:rsidRDefault="000223A8" w:rsidP="000223A8">
            <w:pPr>
              <w:jc w:val="both"/>
              <w:rPr>
                <w:rFonts w:ascii="Arial" w:hAnsi="Arial" w:cs="Arial"/>
                <w:b/>
              </w:rPr>
            </w:pPr>
            <w:r w:rsidRPr="000223A8">
              <w:rPr>
                <w:rFonts w:ascii="Arial" w:hAnsi="Arial" w:cs="Arial"/>
                <w:b/>
              </w:rPr>
              <w:t>Tools to be used to Identify Service Review Areas</w:t>
            </w:r>
          </w:p>
          <w:p w:rsidR="000223A8" w:rsidRPr="000223A8" w:rsidRDefault="000223A8" w:rsidP="000223A8">
            <w:pPr>
              <w:jc w:val="both"/>
              <w:rPr>
                <w:rFonts w:ascii="Arial" w:hAnsi="Arial" w:cs="Arial"/>
              </w:rPr>
            </w:pPr>
            <w:r w:rsidRPr="000223A8">
              <w:rPr>
                <w:rFonts w:ascii="Arial" w:hAnsi="Arial" w:cs="Arial"/>
              </w:rPr>
              <w:t>The CCG is committed to ensuring that the local population receives the best care, for the best value and subsequently ensures that there is a continual review of CCG expenditure against measurable health outcomes.</w:t>
            </w:r>
          </w:p>
          <w:p w:rsidR="000223A8" w:rsidRPr="006E6E0E" w:rsidRDefault="000223A8" w:rsidP="006E6E0E">
            <w:pPr>
              <w:jc w:val="both"/>
              <w:rPr>
                <w:rFonts w:ascii="Arial" w:hAnsi="Arial" w:cs="Arial"/>
              </w:rPr>
            </w:pPr>
          </w:p>
        </w:tc>
      </w:tr>
      <w:tr w:rsidR="000223A8" w:rsidRPr="004231B6" w:rsidTr="00EE70D4">
        <w:tc>
          <w:tcPr>
            <w:tcW w:w="642" w:type="dxa"/>
            <w:tcBorders>
              <w:top w:val="nil"/>
              <w:left w:val="nil"/>
              <w:bottom w:val="nil"/>
              <w:right w:val="nil"/>
            </w:tcBorders>
          </w:tcPr>
          <w:p w:rsidR="000223A8" w:rsidRPr="004231B6" w:rsidRDefault="000223A8" w:rsidP="00EE70D4">
            <w:pPr>
              <w:jc w:val="both"/>
              <w:rPr>
                <w:rFonts w:ascii="Arial" w:hAnsi="Arial" w:cs="Arial"/>
              </w:rPr>
            </w:pPr>
          </w:p>
        </w:tc>
        <w:tc>
          <w:tcPr>
            <w:tcW w:w="805" w:type="dxa"/>
            <w:tcBorders>
              <w:top w:val="nil"/>
              <w:left w:val="nil"/>
              <w:bottom w:val="nil"/>
              <w:right w:val="nil"/>
            </w:tcBorders>
          </w:tcPr>
          <w:p w:rsidR="000223A8" w:rsidRPr="004231B6" w:rsidRDefault="000223A8" w:rsidP="00EE70D4">
            <w:pPr>
              <w:jc w:val="both"/>
              <w:rPr>
                <w:rFonts w:ascii="Arial" w:hAnsi="Arial" w:cs="Arial"/>
              </w:rPr>
            </w:pPr>
          </w:p>
        </w:tc>
        <w:tc>
          <w:tcPr>
            <w:tcW w:w="984" w:type="dxa"/>
            <w:tcBorders>
              <w:top w:val="nil"/>
              <w:left w:val="nil"/>
              <w:bottom w:val="nil"/>
              <w:right w:val="nil"/>
            </w:tcBorders>
          </w:tcPr>
          <w:p w:rsidR="000223A8" w:rsidRPr="004231B6" w:rsidRDefault="009B216F" w:rsidP="00EE70D4">
            <w:pPr>
              <w:jc w:val="both"/>
              <w:rPr>
                <w:rFonts w:ascii="Arial" w:hAnsi="Arial" w:cs="Arial"/>
              </w:rPr>
            </w:pPr>
            <w:r>
              <w:rPr>
                <w:rFonts w:ascii="Arial" w:hAnsi="Arial" w:cs="Arial"/>
              </w:rPr>
              <w:t>8</w:t>
            </w:r>
            <w:r w:rsidR="006E6E0E">
              <w:rPr>
                <w:rFonts w:ascii="Arial" w:hAnsi="Arial" w:cs="Arial"/>
              </w:rPr>
              <w:t>.3.1</w:t>
            </w:r>
          </w:p>
        </w:tc>
        <w:tc>
          <w:tcPr>
            <w:tcW w:w="6811" w:type="dxa"/>
            <w:tcBorders>
              <w:top w:val="nil"/>
              <w:left w:val="nil"/>
              <w:bottom w:val="nil"/>
              <w:right w:val="nil"/>
            </w:tcBorders>
          </w:tcPr>
          <w:p w:rsidR="006E6E0E" w:rsidRPr="006E6E0E" w:rsidRDefault="006E6E0E" w:rsidP="006E6E0E">
            <w:pPr>
              <w:jc w:val="both"/>
              <w:rPr>
                <w:rFonts w:ascii="Arial" w:hAnsi="Arial" w:cs="Arial"/>
              </w:rPr>
            </w:pPr>
            <w:r w:rsidRPr="006E6E0E">
              <w:rPr>
                <w:rFonts w:ascii="Arial" w:hAnsi="Arial" w:cs="Arial"/>
              </w:rPr>
              <w:t>As a matter of policy the CCG will prioritise those areas where high expenditure and low outcomes are identified to enable / undertake further analysis into the provision of commissioned services, drawing on tools including:</w:t>
            </w:r>
          </w:p>
          <w:p w:rsidR="006E6E0E" w:rsidRDefault="006E6E0E" w:rsidP="00EA08AA">
            <w:pPr>
              <w:pStyle w:val="ListParagraph"/>
              <w:numPr>
                <w:ilvl w:val="0"/>
                <w:numId w:val="10"/>
              </w:numPr>
              <w:jc w:val="both"/>
              <w:rPr>
                <w:rFonts w:ascii="Arial" w:hAnsi="Arial" w:cs="Arial"/>
              </w:rPr>
            </w:pPr>
            <w:r w:rsidRPr="006E6E0E">
              <w:rPr>
                <w:rFonts w:ascii="Arial" w:hAnsi="Arial" w:cs="Arial"/>
              </w:rPr>
              <w:t>Commissioning For Value Packs</w:t>
            </w:r>
          </w:p>
          <w:p w:rsidR="006E6E0E" w:rsidRDefault="006E6E0E" w:rsidP="00EA08AA">
            <w:pPr>
              <w:pStyle w:val="ListParagraph"/>
              <w:numPr>
                <w:ilvl w:val="0"/>
                <w:numId w:val="10"/>
              </w:numPr>
              <w:jc w:val="both"/>
              <w:rPr>
                <w:rFonts w:ascii="Arial" w:hAnsi="Arial" w:cs="Arial"/>
              </w:rPr>
            </w:pPr>
            <w:r>
              <w:rPr>
                <w:rFonts w:ascii="Arial" w:hAnsi="Arial" w:cs="Arial"/>
              </w:rPr>
              <w:t>NHS Comparators data</w:t>
            </w:r>
          </w:p>
          <w:p w:rsidR="006E6E0E" w:rsidRDefault="006E6E0E" w:rsidP="00EA08AA">
            <w:pPr>
              <w:pStyle w:val="ListParagraph"/>
              <w:numPr>
                <w:ilvl w:val="0"/>
                <w:numId w:val="10"/>
              </w:numPr>
              <w:jc w:val="both"/>
              <w:rPr>
                <w:rFonts w:ascii="Arial" w:hAnsi="Arial" w:cs="Arial"/>
              </w:rPr>
            </w:pPr>
            <w:r>
              <w:rPr>
                <w:rFonts w:ascii="Arial" w:hAnsi="Arial" w:cs="Arial"/>
              </w:rPr>
              <w:t>Programme Budgeting information</w:t>
            </w:r>
          </w:p>
          <w:p w:rsidR="006E6E0E" w:rsidRDefault="006E6E0E" w:rsidP="00EA08AA">
            <w:pPr>
              <w:pStyle w:val="ListParagraph"/>
              <w:numPr>
                <w:ilvl w:val="0"/>
                <w:numId w:val="10"/>
              </w:numPr>
              <w:jc w:val="both"/>
              <w:rPr>
                <w:rFonts w:ascii="Arial" w:hAnsi="Arial" w:cs="Arial"/>
              </w:rPr>
            </w:pPr>
            <w:r w:rsidRPr="006E6E0E">
              <w:rPr>
                <w:rFonts w:ascii="Arial" w:hAnsi="Arial" w:cs="Arial"/>
              </w:rPr>
              <w:t>The</w:t>
            </w:r>
            <w:r>
              <w:rPr>
                <w:rFonts w:ascii="Arial" w:hAnsi="Arial" w:cs="Arial"/>
              </w:rPr>
              <w:t xml:space="preserve"> Spend and Outcomes tool (SPOT)</w:t>
            </w:r>
          </w:p>
          <w:p w:rsidR="009E6B9C" w:rsidRDefault="009E6B9C" w:rsidP="009E6B9C">
            <w:pPr>
              <w:jc w:val="both"/>
              <w:rPr>
                <w:rFonts w:ascii="Arial" w:hAnsi="Arial" w:cs="Arial"/>
              </w:rPr>
            </w:pPr>
          </w:p>
          <w:p w:rsidR="009E6B9C" w:rsidRPr="009E6B9C" w:rsidRDefault="009E6B9C" w:rsidP="009E6B9C">
            <w:pPr>
              <w:jc w:val="both"/>
              <w:rPr>
                <w:rFonts w:ascii="Arial" w:hAnsi="Arial" w:cs="Arial"/>
              </w:rPr>
            </w:pPr>
            <w:r>
              <w:rPr>
                <w:rFonts w:ascii="Arial" w:hAnsi="Arial" w:cs="Arial"/>
              </w:rPr>
              <w:t>The CCG Programme and Project Management, New Idea and priority setting template sets out the decision making criteria for progressing any idea into a full project.</w:t>
            </w:r>
          </w:p>
          <w:p w:rsidR="00B945F3" w:rsidRPr="00F83290" w:rsidRDefault="00B945F3" w:rsidP="005461F8">
            <w:pPr>
              <w:pStyle w:val="ListParagraph"/>
              <w:jc w:val="both"/>
              <w:rPr>
                <w:rFonts w:ascii="Arial" w:hAnsi="Arial" w:cs="Arial"/>
              </w:rPr>
            </w:pPr>
          </w:p>
        </w:tc>
      </w:tr>
      <w:tr w:rsidR="000723A5" w:rsidRPr="004231B6" w:rsidTr="00EE70D4">
        <w:tc>
          <w:tcPr>
            <w:tcW w:w="642" w:type="dxa"/>
            <w:tcBorders>
              <w:top w:val="nil"/>
              <w:left w:val="nil"/>
              <w:bottom w:val="nil"/>
              <w:right w:val="nil"/>
            </w:tcBorders>
          </w:tcPr>
          <w:p w:rsidR="000723A5" w:rsidRPr="004231B6" w:rsidRDefault="000723A5" w:rsidP="00EE70D4">
            <w:pPr>
              <w:jc w:val="both"/>
              <w:rPr>
                <w:rFonts w:ascii="Arial" w:hAnsi="Arial" w:cs="Arial"/>
              </w:rPr>
            </w:pPr>
          </w:p>
        </w:tc>
        <w:tc>
          <w:tcPr>
            <w:tcW w:w="805" w:type="dxa"/>
            <w:tcBorders>
              <w:top w:val="nil"/>
              <w:left w:val="nil"/>
              <w:bottom w:val="nil"/>
              <w:right w:val="nil"/>
            </w:tcBorders>
          </w:tcPr>
          <w:p w:rsidR="000723A5" w:rsidRPr="004231B6" w:rsidRDefault="000723A5" w:rsidP="00EE70D4">
            <w:pPr>
              <w:jc w:val="both"/>
              <w:rPr>
                <w:rFonts w:ascii="Arial" w:hAnsi="Arial" w:cs="Arial"/>
              </w:rPr>
            </w:pPr>
          </w:p>
        </w:tc>
        <w:tc>
          <w:tcPr>
            <w:tcW w:w="984" w:type="dxa"/>
            <w:tcBorders>
              <w:top w:val="nil"/>
              <w:left w:val="nil"/>
              <w:bottom w:val="nil"/>
              <w:right w:val="nil"/>
            </w:tcBorders>
          </w:tcPr>
          <w:p w:rsidR="000723A5" w:rsidRDefault="000723A5" w:rsidP="00EE70D4">
            <w:pPr>
              <w:jc w:val="both"/>
              <w:rPr>
                <w:rFonts w:ascii="Arial" w:hAnsi="Arial" w:cs="Arial"/>
              </w:rPr>
            </w:pPr>
            <w:r>
              <w:rPr>
                <w:rFonts w:ascii="Arial" w:hAnsi="Arial" w:cs="Arial"/>
              </w:rPr>
              <w:t>8.3.2</w:t>
            </w:r>
          </w:p>
        </w:tc>
        <w:tc>
          <w:tcPr>
            <w:tcW w:w="6811" w:type="dxa"/>
            <w:tcBorders>
              <w:top w:val="nil"/>
              <w:left w:val="nil"/>
              <w:bottom w:val="nil"/>
              <w:right w:val="nil"/>
            </w:tcBorders>
          </w:tcPr>
          <w:p w:rsidR="000723A5" w:rsidRPr="000723A5" w:rsidRDefault="000723A5" w:rsidP="000723A5">
            <w:pPr>
              <w:jc w:val="both"/>
              <w:rPr>
                <w:rFonts w:ascii="Arial" w:hAnsi="Arial" w:cs="Arial"/>
                <w:b/>
              </w:rPr>
            </w:pPr>
            <w:r w:rsidRPr="000723A5">
              <w:rPr>
                <w:rFonts w:ascii="Arial" w:hAnsi="Arial" w:cs="Arial"/>
                <w:b/>
              </w:rPr>
              <w:t xml:space="preserve">Patients and Carers </w:t>
            </w:r>
          </w:p>
          <w:p w:rsidR="000723A5" w:rsidRPr="000723A5" w:rsidRDefault="000723A5" w:rsidP="000723A5">
            <w:pPr>
              <w:jc w:val="both"/>
              <w:rPr>
                <w:rFonts w:ascii="Arial" w:hAnsi="Arial" w:cs="Arial"/>
              </w:rPr>
            </w:pPr>
            <w:r w:rsidRPr="000723A5">
              <w:rPr>
                <w:rFonts w:ascii="Arial" w:hAnsi="Arial" w:cs="Arial"/>
              </w:rPr>
              <w:t xml:space="preserve">A key mechanism for identifying potential services for review is feedback from patients and carers via, complaints, compliments, </w:t>
            </w:r>
            <w:r w:rsidR="00421C84">
              <w:rPr>
                <w:rFonts w:ascii="Arial" w:hAnsi="Arial" w:cs="Arial"/>
              </w:rPr>
              <w:t>local p</w:t>
            </w:r>
            <w:r w:rsidRPr="000723A5">
              <w:rPr>
                <w:rFonts w:ascii="Arial" w:hAnsi="Arial" w:cs="Arial"/>
              </w:rPr>
              <w:t>atients</w:t>
            </w:r>
            <w:r w:rsidR="00421C84">
              <w:rPr>
                <w:rFonts w:ascii="Arial" w:hAnsi="Arial" w:cs="Arial"/>
              </w:rPr>
              <w:t xml:space="preserve"> and service user g</w:t>
            </w:r>
            <w:r w:rsidRPr="000723A5">
              <w:rPr>
                <w:rFonts w:ascii="Arial" w:hAnsi="Arial" w:cs="Arial"/>
              </w:rPr>
              <w:t xml:space="preserve">roups, patient </w:t>
            </w:r>
            <w:r w:rsidRPr="000723A5">
              <w:rPr>
                <w:rFonts w:ascii="Arial" w:hAnsi="Arial" w:cs="Arial"/>
              </w:rPr>
              <w:lastRenderedPageBreak/>
              <w:t xml:space="preserve">survey results and </w:t>
            </w:r>
            <w:proofErr w:type="spellStart"/>
            <w:r w:rsidRPr="000723A5">
              <w:rPr>
                <w:rFonts w:ascii="Arial" w:hAnsi="Arial" w:cs="Arial"/>
              </w:rPr>
              <w:t>Healthwatch</w:t>
            </w:r>
            <w:proofErr w:type="spellEnd"/>
            <w:r w:rsidRPr="000723A5">
              <w:rPr>
                <w:rFonts w:ascii="Arial" w:hAnsi="Arial" w:cs="Arial"/>
              </w:rPr>
              <w:t>.</w:t>
            </w:r>
          </w:p>
          <w:p w:rsidR="000723A5" w:rsidRDefault="000723A5" w:rsidP="000723A5">
            <w:pPr>
              <w:jc w:val="both"/>
              <w:rPr>
                <w:rFonts w:ascii="Arial" w:hAnsi="Arial" w:cs="Arial"/>
              </w:rPr>
            </w:pPr>
          </w:p>
          <w:p w:rsidR="00F83290" w:rsidRDefault="000723A5" w:rsidP="000723A5">
            <w:pPr>
              <w:jc w:val="both"/>
              <w:rPr>
                <w:rFonts w:ascii="Arial" w:hAnsi="Arial" w:cs="Arial"/>
              </w:rPr>
            </w:pPr>
            <w:r w:rsidRPr="000723A5">
              <w:rPr>
                <w:rFonts w:ascii="Arial" w:hAnsi="Arial" w:cs="Arial"/>
              </w:rPr>
              <w:t>The CCG will also proactively seek views from relevant community groups and feedback from patients who have been service users, or are likely to be service users in the future.</w:t>
            </w:r>
          </w:p>
          <w:p w:rsidR="00632B85" w:rsidRPr="006E6E0E" w:rsidRDefault="00632B85" w:rsidP="000723A5">
            <w:pPr>
              <w:jc w:val="both"/>
              <w:rPr>
                <w:rFonts w:ascii="Arial" w:hAnsi="Arial" w:cs="Arial"/>
              </w:rPr>
            </w:pPr>
          </w:p>
        </w:tc>
      </w:tr>
      <w:tr w:rsidR="006E6E0E" w:rsidRPr="004231B6" w:rsidTr="00EE70D4">
        <w:tc>
          <w:tcPr>
            <w:tcW w:w="642" w:type="dxa"/>
            <w:tcBorders>
              <w:top w:val="nil"/>
              <w:left w:val="nil"/>
              <w:bottom w:val="nil"/>
              <w:right w:val="nil"/>
            </w:tcBorders>
          </w:tcPr>
          <w:p w:rsidR="006E6E0E" w:rsidRPr="004231B6" w:rsidRDefault="006E6E0E" w:rsidP="00EE70D4">
            <w:pPr>
              <w:jc w:val="both"/>
              <w:rPr>
                <w:rFonts w:ascii="Arial" w:hAnsi="Arial" w:cs="Arial"/>
              </w:rPr>
            </w:pPr>
          </w:p>
        </w:tc>
        <w:tc>
          <w:tcPr>
            <w:tcW w:w="805" w:type="dxa"/>
            <w:tcBorders>
              <w:top w:val="nil"/>
              <w:left w:val="nil"/>
              <w:bottom w:val="nil"/>
              <w:right w:val="nil"/>
            </w:tcBorders>
          </w:tcPr>
          <w:p w:rsidR="006E6E0E" w:rsidRPr="004231B6" w:rsidRDefault="00B926A1" w:rsidP="00EE70D4">
            <w:pPr>
              <w:jc w:val="both"/>
              <w:rPr>
                <w:rFonts w:ascii="Arial" w:hAnsi="Arial" w:cs="Arial"/>
              </w:rPr>
            </w:pPr>
            <w:r>
              <w:rPr>
                <w:rFonts w:ascii="Arial" w:hAnsi="Arial" w:cs="Arial"/>
              </w:rPr>
              <w:t>8</w:t>
            </w:r>
            <w:r w:rsidR="006E6E0E">
              <w:rPr>
                <w:rFonts w:ascii="Arial" w:hAnsi="Arial" w:cs="Arial"/>
              </w:rPr>
              <w:t>.4</w:t>
            </w:r>
          </w:p>
        </w:tc>
        <w:tc>
          <w:tcPr>
            <w:tcW w:w="7795" w:type="dxa"/>
            <w:gridSpan w:val="2"/>
            <w:tcBorders>
              <w:top w:val="nil"/>
              <w:left w:val="nil"/>
              <w:bottom w:val="nil"/>
              <w:right w:val="nil"/>
            </w:tcBorders>
          </w:tcPr>
          <w:p w:rsidR="00FC7F8A" w:rsidRPr="00FC7F8A" w:rsidRDefault="00FC7F8A" w:rsidP="00FC7F8A">
            <w:pPr>
              <w:jc w:val="both"/>
              <w:rPr>
                <w:rFonts w:ascii="Arial" w:hAnsi="Arial" w:cs="Arial"/>
                <w:b/>
              </w:rPr>
            </w:pPr>
            <w:r w:rsidRPr="00FC7F8A">
              <w:rPr>
                <w:rFonts w:ascii="Arial" w:hAnsi="Arial" w:cs="Arial"/>
                <w:b/>
              </w:rPr>
              <w:t xml:space="preserve">Initial Impact Assessment </w:t>
            </w:r>
          </w:p>
          <w:p w:rsidR="00FC7F8A" w:rsidRPr="00FC7F8A" w:rsidRDefault="00FC7F8A" w:rsidP="00FC7F8A">
            <w:pPr>
              <w:jc w:val="both"/>
              <w:rPr>
                <w:rFonts w:ascii="Arial" w:hAnsi="Arial" w:cs="Arial"/>
              </w:rPr>
            </w:pPr>
            <w:r w:rsidRPr="00FC7F8A">
              <w:rPr>
                <w:rFonts w:ascii="Arial" w:hAnsi="Arial" w:cs="Arial"/>
              </w:rPr>
              <w:t xml:space="preserve">In the event that a case for change is validated by sufficient supporting evidence, the </w:t>
            </w:r>
            <w:r>
              <w:rPr>
                <w:rFonts w:ascii="Arial" w:hAnsi="Arial" w:cs="Arial"/>
              </w:rPr>
              <w:t xml:space="preserve">clinical and officer </w:t>
            </w:r>
            <w:r w:rsidRPr="00FC7F8A">
              <w:rPr>
                <w:rFonts w:ascii="Arial" w:hAnsi="Arial" w:cs="Arial"/>
              </w:rPr>
              <w:t>lead</w:t>
            </w:r>
            <w:r>
              <w:rPr>
                <w:rFonts w:ascii="Arial" w:hAnsi="Arial" w:cs="Arial"/>
              </w:rPr>
              <w:t>s</w:t>
            </w:r>
            <w:r w:rsidRPr="00FC7F8A">
              <w:rPr>
                <w:rFonts w:ascii="Arial" w:hAnsi="Arial" w:cs="Arial"/>
              </w:rPr>
              <w:t xml:space="preserve"> will be responsible for developing an </w:t>
            </w:r>
            <w:r w:rsidR="00F83290">
              <w:rPr>
                <w:rFonts w:ascii="Arial" w:hAnsi="Arial" w:cs="Arial"/>
              </w:rPr>
              <w:t xml:space="preserve">outline business case which </w:t>
            </w:r>
            <w:r w:rsidRPr="00FC7F8A">
              <w:rPr>
                <w:rFonts w:ascii="Arial" w:hAnsi="Arial" w:cs="Arial"/>
              </w:rPr>
              <w:t>will identify the anticipated or actual</w:t>
            </w:r>
            <w:r w:rsidR="0024230A">
              <w:rPr>
                <w:rFonts w:ascii="Arial" w:hAnsi="Arial" w:cs="Arial"/>
              </w:rPr>
              <w:t xml:space="preserve"> impacts of any </w:t>
            </w:r>
            <w:r w:rsidRPr="00FC7F8A">
              <w:rPr>
                <w:rFonts w:ascii="Arial" w:hAnsi="Arial" w:cs="Arial"/>
              </w:rPr>
              <w:t>decommissioning on health, social, economic and workforce</w:t>
            </w:r>
            <w:r w:rsidR="00F83290">
              <w:rPr>
                <w:rFonts w:ascii="Arial" w:hAnsi="Arial" w:cs="Arial"/>
              </w:rPr>
              <w:t xml:space="preserve"> factors</w:t>
            </w:r>
            <w:r w:rsidRPr="00FC7F8A">
              <w:rPr>
                <w:rFonts w:ascii="Arial" w:hAnsi="Arial" w:cs="Arial"/>
              </w:rPr>
              <w:t>.</w:t>
            </w:r>
          </w:p>
          <w:p w:rsidR="006E6E0E" w:rsidRPr="006E6E0E" w:rsidRDefault="006E6E0E" w:rsidP="00FC7F8A">
            <w:pPr>
              <w:jc w:val="both"/>
              <w:rPr>
                <w:rFonts w:ascii="Arial" w:hAnsi="Arial" w:cs="Arial"/>
              </w:rPr>
            </w:pPr>
          </w:p>
        </w:tc>
      </w:tr>
      <w:tr w:rsidR="006E6E0E" w:rsidRPr="004231B6" w:rsidTr="00EE70D4">
        <w:tc>
          <w:tcPr>
            <w:tcW w:w="642" w:type="dxa"/>
            <w:tcBorders>
              <w:top w:val="nil"/>
              <w:left w:val="nil"/>
              <w:bottom w:val="nil"/>
              <w:right w:val="nil"/>
            </w:tcBorders>
          </w:tcPr>
          <w:p w:rsidR="006E6E0E" w:rsidRPr="004231B6" w:rsidRDefault="006E6E0E" w:rsidP="00EE70D4">
            <w:pPr>
              <w:jc w:val="both"/>
              <w:rPr>
                <w:rFonts w:ascii="Arial" w:hAnsi="Arial" w:cs="Arial"/>
              </w:rPr>
            </w:pPr>
          </w:p>
        </w:tc>
        <w:tc>
          <w:tcPr>
            <w:tcW w:w="805" w:type="dxa"/>
            <w:tcBorders>
              <w:top w:val="nil"/>
              <w:left w:val="nil"/>
              <w:bottom w:val="nil"/>
              <w:right w:val="nil"/>
            </w:tcBorders>
          </w:tcPr>
          <w:p w:rsidR="006E6E0E" w:rsidRPr="004231B6" w:rsidRDefault="006E6E0E" w:rsidP="00EE70D4">
            <w:pPr>
              <w:jc w:val="both"/>
              <w:rPr>
                <w:rFonts w:ascii="Arial" w:hAnsi="Arial" w:cs="Arial"/>
              </w:rPr>
            </w:pPr>
          </w:p>
        </w:tc>
        <w:tc>
          <w:tcPr>
            <w:tcW w:w="984" w:type="dxa"/>
            <w:tcBorders>
              <w:top w:val="nil"/>
              <w:left w:val="nil"/>
              <w:bottom w:val="nil"/>
              <w:right w:val="nil"/>
            </w:tcBorders>
          </w:tcPr>
          <w:p w:rsidR="006E6E0E" w:rsidRDefault="00B926A1" w:rsidP="00EE70D4">
            <w:pPr>
              <w:jc w:val="both"/>
              <w:rPr>
                <w:rFonts w:ascii="Arial" w:hAnsi="Arial" w:cs="Arial"/>
              </w:rPr>
            </w:pPr>
            <w:r>
              <w:rPr>
                <w:rFonts w:ascii="Arial" w:hAnsi="Arial" w:cs="Arial"/>
              </w:rPr>
              <w:t>8</w:t>
            </w:r>
            <w:r w:rsidR="00FC7F8A">
              <w:rPr>
                <w:rFonts w:ascii="Arial" w:hAnsi="Arial" w:cs="Arial"/>
              </w:rPr>
              <w:t>.4.1</w:t>
            </w:r>
          </w:p>
        </w:tc>
        <w:tc>
          <w:tcPr>
            <w:tcW w:w="6811" w:type="dxa"/>
            <w:tcBorders>
              <w:top w:val="nil"/>
              <w:left w:val="nil"/>
              <w:bottom w:val="nil"/>
              <w:right w:val="nil"/>
            </w:tcBorders>
          </w:tcPr>
          <w:p w:rsidR="00FC7F8A" w:rsidRPr="00FC7F8A" w:rsidRDefault="00FC7F8A" w:rsidP="00FC7F8A">
            <w:pPr>
              <w:jc w:val="both"/>
              <w:rPr>
                <w:rFonts w:ascii="Arial" w:hAnsi="Arial" w:cs="Arial"/>
              </w:rPr>
            </w:pPr>
            <w:r w:rsidRPr="00FC7F8A">
              <w:rPr>
                <w:rFonts w:ascii="Arial" w:hAnsi="Arial" w:cs="Arial"/>
              </w:rPr>
              <w:t xml:space="preserve">The </w:t>
            </w:r>
            <w:r w:rsidR="008B4778">
              <w:rPr>
                <w:rFonts w:ascii="Arial" w:hAnsi="Arial" w:cs="Arial"/>
              </w:rPr>
              <w:t xml:space="preserve">outline business case </w:t>
            </w:r>
            <w:r w:rsidRPr="00FC7F8A">
              <w:rPr>
                <w:rFonts w:ascii="Arial" w:hAnsi="Arial" w:cs="Arial"/>
              </w:rPr>
              <w:t xml:space="preserve">will </w:t>
            </w:r>
            <w:r>
              <w:rPr>
                <w:rFonts w:ascii="Arial" w:hAnsi="Arial" w:cs="Arial"/>
              </w:rPr>
              <w:t xml:space="preserve">include reference to: </w:t>
            </w:r>
          </w:p>
          <w:p w:rsidR="00FC7F8A" w:rsidRDefault="00FC7F8A" w:rsidP="00EA08AA">
            <w:pPr>
              <w:pStyle w:val="ListParagraph"/>
              <w:numPr>
                <w:ilvl w:val="0"/>
                <w:numId w:val="11"/>
              </w:numPr>
              <w:jc w:val="both"/>
              <w:rPr>
                <w:rFonts w:ascii="Arial" w:hAnsi="Arial" w:cs="Arial"/>
              </w:rPr>
            </w:pPr>
            <w:r w:rsidRPr="002F70CE">
              <w:rPr>
                <w:rFonts w:ascii="Arial" w:hAnsi="Arial" w:cs="Arial"/>
                <w:i/>
              </w:rPr>
              <w:t>Health outcomes</w:t>
            </w:r>
            <w:r w:rsidRPr="00FC7F8A">
              <w:rPr>
                <w:rFonts w:ascii="Arial" w:hAnsi="Arial" w:cs="Arial"/>
              </w:rPr>
              <w:t xml:space="preserve"> –</w:t>
            </w:r>
            <w:r>
              <w:rPr>
                <w:rFonts w:ascii="Arial" w:hAnsi="Arial" w:cs="Arial"/>
              </w:rPr>
              <w:t xml:space="preserve"> </w:t>
            </w:r>
            <w:r w:rsidRPr="00FC7F8A">
              <w:rPr>
                <w:rFonts w:ascii="Arial" w:hAnsi="Arial" w:cs="Arial"/>
              </w:rPr>
              <w:t>to identify potential adverse c</w:t>
            </w:r>
            <w:r w:rsidR="0024230A">
              <w:rPr>
                <w:rFonts w:ascii="Arial" w:hAnsi="Arial" w:cs="Arial"/>
              </w:rPr>
              <w:t xml:space="preserve">onsequences of </w:t>
            </w:r>
            <w:r w:rsidRPr="00FC7F8A">
              <w:rPr>
                <w:rFonts w:ascii="Arial" w:hAnsi="Arial" w:cs="Arial"/>
              </w:rPr>
              <w:t>decommissioning and what</w:t>
            </w:r>
            <w:r>
              <w:rPr>
                <w:rFonts w:ascii="Arial" w:hAnsi="Arial" w:cs="Arial"/>
              </w:rPr>
              <w:t xml:space="preserve"> might to done to minimise them</w:t>
            </w:r>
          </w:p>
          <w:p w:rsidR="002F70CE" w:rsidRDefault="00FC7F8A" w:rsidP="00EA08AA">
            <w:pPr>
              <w:pStyle w:val="ListParagraph"/>
              <w:numPr>
                <w:ilvl w:val="0"/>
                <w:numId w:val="11"/>
              </w:numPr>
              <w:jc w:val="both"/>
              <w:rPr>
                <w:rFonts w:ascii="Arial" w:hAnsi="Arial" w:cs="Arial"/>
              </w:rPr>
            </w:pPr>
            <w:r w:rsidRPr="002F70CE">
              <w:rPr>
                <w:rFonts w:ascii="Arial" w:hAnsi="Arial" w:cs="Arial"/>
                <w:i/>
              </w:rPr>
              <w:t>Quality of services</w:t>
            </w:r>
            <w:r w:rsidRPr="00FC7F8A">
              <w:rPr>
                <w:rFonts w:ascii="Arial" w:hAnsi="Arial" w:cs="Arial"/>
              </w:rPr>
              <w:t xml:space="preserve"> – to ensure that the quality of services will not deteriorate following any proposed changes. The CCG will use its agreed Quality Impact Assessments tools to carry out the reviews.</w:t>
            </w:r>
          </w:p>
          <w:p w:rsidR="006E6E0E" w:rsidRDefault="00FC7F8A" w:rsidP="00EA08AA">
            <w:pPr>
              <w:pStyle w:val="ListParagraph"/>
              <w:numPr>
                <w:ilvl w:val="0"/>
                <w:numId w:val="11"/>
              </w:numPr>
              <w:jc w:val="both"/>
              <w:rPr>
                <w:rFonts w:ascii="Arial" w:hAnsi="Arial" w:cs="Arial"/>
              </w:rPr>
            </w:pPr>
            <w:r w:rsidRPr="002F70CE">
              <w:rPr>
                <w:rFonts w:ascii="Arial" w:hAnsi="Arial" w:cs="Arial"/>
                <w:i/>
              </w:rPr>
              <w:t>Equality and diversity implications</w:t>
            </w:r>
            <w:r w:rsidRPr="002F70CE">
              <w:rPr>
                <w:rFonts w:ascii="Arial" w:hAnsi="Arial" w:cs="Arial"/>
              </w:rPr>
              <w:t xml:space="preserve"> – underpinned by the principle that people should have access to health care on the basis of need. However enshrined in law there are a number of identified protected groups, categories of the population that require specific consideration</w:t>
            </w:r>
            <w:r w:rsidR="002F70CE">
              <w:rPr>
                <w:rFonts w:ascii="Arial" w:hAnsi="Arial" w:cs="Arial"/>
              </w:rPr>
              <w:t>. The CCG will use its Equality Impact Assessments tool for this purpose.</w:t>
            </w:r>
          </w:p>
          <w:p w:rsidR="002F70CE" w:rsidRPr="002F70CE" w:rsidRDefault="002F70CE" w:rsidP="002F70CE">
            <w:pPr>
              <w:jc w:val="both"/>
              <w:rPr>
                <w:rFonts w:ascii="Arial" w:hAnsi="Arial" w:cs="Arial"/>
              </w:rPr>
            </w:pPr>
          </w:p>
        </w:tc>
      </w:tr>
      <w:tr w:rsidR="00FC7F8A" w:rsidRPr="004231B6" w:rsidTr="00EE70D4">
        <w:tc>
          <w:tcPr>
            <w:tcW w:w="642" w:type="dxa"/>
            <w:tcBorders>
              <w:top w:val="nil"/>
              <w:left w:val="nil"/>
              <w:bottom w:val="nil"/>
              <w:right w:val="nil"/>
            </w:tcBorders>
          </w:tcPr>
          <w:p w:rsidR="00FC7F8A" w:rsidRPr="004231B6" w:rsidRDefault="00FC7F8A" w:rsidP="00EE70D4">
            <w:pPr>
              <w:jc w:val="both"/>
              <w:rPr>
                <w:rFonts w:ascii="Arial" w:hAnsi="Arial" w:cs="Arial"/>
              </w:rPr>
            </w:pPr>
          </w:p>
        </w:tc>
        <w:tc>
          <w:tcPr>
            <w:tcW w:w="805" w:type="dxa"/>
            <w:tcBorders>
              <w:top w:val="nil"/>
              <w:left w:val="nil"/>
              <w:bottom w:val="nil"/>
              <w:right w:val="nil"/>
            </w:tcBorders>
          </w:tcPr>
          <w:p w:rsidR="00FC7F8A" w:rsidRPr="004231B6" w:rsidRDefault="00FC7F8A" w:rsidP="00EE70D4">
            <w:pPr>
              <w:jc w:val="both"/>
              <w:rPr>
                <w:rFonts w:ascii="Arial" w:hAnsi="Arial" w:cs="Arial"/>
              </w:rPr>
            </w:pPr>
          </w:p>
        </w:tc>
        <w:tc>
          <w:tcPr>
            <w:tcW w:w="984" w:type="dxa"/>
            <w:tcBorders>
              <w:top w:val="nil"/>
              <w:left w:val="nil"/>
              <w:bottom w:val="nil"/>
              <w:right w:val="nil"/>
            </w:tcBorders>
          </w:tcPr>
          <w:p w:rsidR="00FC7F8A" w:rsidRDefault="00B926A1" w:rsidP="00EE70D4">
            <w:pPr>
              <w:jc w:val="both"/>
              <w:rPr>
                <w:rFonts w:ascii="Arial" w:hAnsi="Arial" w:cs="Arial"/>
              </w:rPr>
            </w:pPr>
            <w:r>
              <w:rPr>
                <w:rFonts w:ascii="Arial" w:hAnsi="Arial" w:cs="Arial"/>
              </w:rPr>
              <w:t>8</w:t>
            </w:r>
            <w:r w:rsidR="002F70CE">
              <w:rPr>
                <w:rFonts w:ascii="Arial" w:hAnsi="Arial" w:cs="Arial"/>
              </w:rPr>
              <w:t>.4.2</w:t>
            </w:r>
          </w:p>
        </w:tc>
        <w:tc>
          <w:tcPr>
            <w:tcW w:w="6811" w:type="dxa"/>
            <w:tcBorders>
              <w:top w:val="nil"/>
              <w:left w:val="nil"/>
              <w:bottom w:val="nil"/>
              <w:right w:val="nil"/>
            </w:tcBorders>
          </w:tcPr>
          <w:p w:rsidR="00FC7F8A" w:rsidRPr="00FC7F8A" w:rsidRDefault="00FC7F8A" w:rsidP="00FC7F8A">
            <w:pPr>
              <w:jc w:val="both"/>
              <w:rPr>
                <w:rFonts w:ascii="Arial" w:hAnsi="Arial" w:cs="Arial"/>
              </w:rPr>
            </w:pPr>
            <w:r w:rsidRPr="00FC7F8A">
              <w:rPr>
                <w:rFonts w:ascii="Arial" w:hAnsi="Arial" w:cs="Arial"/>
              </w:rPr>
              <w:t xml:space="preserve">In addition the leads will consider </w:t>
            </w:r>
            <w:r w:rsidR="00F83290">
              <w:rPr>
                <w:rFonts w:ascii="Arial" w:hAnsi="Arial" w:cs="Arial"/>
              </w:rPr>
              <w:t xml:space="preserve">where relevant </w:t>
            </w:r>
            <w:r w:rsidRPr="00FC7F8A">
              <w:rPr>
                <w:rFonts w:ascii="Arial" w:hAnsi="Arial" w:cs="Arial"/>
              </w:rPr>
              <w:t>the followin</w:t>
            </w:r>
            <w:r w:rsidR="00F83290">
              <w:rPr>
                <w:rFonts w:ascii="Arial" w:hAnsi="Arial" w:cs="Arial"/>
              </w:rPr>
              <w:t>g areas when completing an outline business case</w:t>
            </w:r>
            <w:r w:rsidR="002F70CE">
              <w:rPr>
                <w:rFonts w:ascii="Arial" w:hAnsi="Arial" w:cs="Arial"/>
              </w:rPr>
              <w:t>:</w:t>
            </w:r>
          </w:p>
          <w:p w:rsidR="002F70CE" w:rsidRDefault="00FC7F8A" w:rsidP="00EA08AA">
            <w:pPr>
              <w:pStyle w:val="ListParagraph"/>
              <w:numPr>
                <w:ilvl w:val="0"/>
                <w:numId w:val="12"/>
              </w:numPr>
              <w:jc w:val="both"/>
              <w:rPr>
                <w:rFonts w:ascii="Arial" w:hAnsi="Arial" w:cs="Arial"/>
              </w:rPr>
            </w:pPr>
            <w:r w:rsidRPr="002F70CE">
              <w:rPr>
                <w:rFonts w:ascii="Arial" w:hAnsi="Arial" w:cs="Arial"/>
              </w:rPr>
              <w:t>Workforce implications</w:t>
            </w:r>
          </w:p>
          <w:p w:rsidR="002F70CE" w:rsidRDefault="00FC7F8A" w:rsidP="00EA08AA">
            <w:pPr>
              <w:pStyle w:val="ListParagraph"/>
              <w:numPr>
                <w:ilvl w:val="0"/>
                <w:numId w:val="12"/>
              </w:numPr>
              <w:jc w:val="both"/>
              <w:rPr>
                <w:rFonts w:ascii="Arial" w:hAnsi="Arial" w:cs="Arial"/>
              </w:rPr>
            </w:pPr>
            <w:r w:rsidRPr="002F70CE">
              <w:rPr>
                <w:rFonts w:ascii="Arial" w:hAnsi="Arial" w:cs="Arial"/>
              </w:rPr>
              <w:t>Market implications</w:t>
            </w:r>
          </w:p>
          <w:p w:rsidR="002F70CE" w:rsidRDefault="00FC7F8A" w:rsidP="00EA08AA">
            <w:pPr>
              <w:pStyle w:val="ListParagraph"/>
              <w:numPr>
                <w:ilvl w:val="0"/>
                <w:numId w:val="12"/>
              </w:numPr>
              <w:jc w:val="both"/>
              <w:rPr>
                <w:rFonts w:ascii="Arial" w:hAnsi="Arial" w:cs="Arial"/>
              </w:rPr>
            </w:pPr>
            <w:r w:rsidRPr="002F70CE">
              <w:rPr>
                <w:rFonts w:ascii="Arial" w:hAnsi="Arial" w:cs="Arial"/>
              </w:rPr>
              <w:t>Geographic implications e.g</w:t>
            </w:r>
            <w:r w:rsidR="002F70CE">
              <w:rPr>
                <w:rFonts w:ascii="Arial" w:hAnsi="Arial" w:cs="Arial"/>
              </w:rPr>
              <w:t>. impact on transport links</w:t>
            </w:r>
          </w:p>
          <w:p w:rsidR="002F70CE" w:rsidRDefault="00FC7F8A" w:rsidP="00EA08AA">
            <w:pPr>
              <w:pStyle w:val="ListParagraph"/>
              <w:numPr>
                <w:ilvl w:val="0"/>
                <w:numId w:val="12"/>
              </w:numPr>
              <w:jc w:val="both"/>
              <w:rPr>
                <w:rFonts w:ascii="Arial" w:hAnsi="Arial" w:cs="Arial"/>
              </w:rPr>
            </w:pPr>
            <w:r w:rsidRPr="002F70CE">
              <w:rPr>
                <w:rFonts w:ascii="Arial" w:hAnsi="Arial" w:cs="Arial"/>
              </w:rPr>
              <w:t>Value for money</w:t>
            </w:r>
          </w:p>
          <w:p w:rsidR="00FC7F8A" w:rsidRDefault="00FC7F8A" w:rsidP="00EA08AA">
            <w:pPr>
              <w:pStyle w:val="ListParagraph"/>
              <w:numPr>
                <w:ilvl w:val="0"/>
                <w:numId w:val="12"/>
              </w:numPr>
              <w:jc w:val="both"/>
              <w:rPr>
                <w:rFonts w:ascii="Arial" w:hAnsi="Arial" w:cs="Arial"/>
              </w:rPr>
            </w:pPr>
            <w:r w:rsidRPr="002F70CE">
              <w:rPr>
                <w:rFonts w:ascii="Arial" w:hAnsi="Arial" w:cs="Arial"/>
              </w:rPr>
              <w:t>Impact on partne</w:t>
            </w:r>
            <w:r w:rsidR="002F70CE">
              <w:rPr>
                <w:rFonts w:ascii="Arial" w:hAnsi="Arial" w:cs="Arial"/>
              </w:rPr>
              <w:t>r organisations</w:t>
            </w:r>
            <w:r w:rsidRPr="002F70CE">
              <w:rPr>
                <w:rFonts w:ascii="Arial" w:hAnsi="Arial" w:cs="Arial"/>
              </w:rPr>
              <w:t>.</w:t>
            </w:r>
          </w:p>
          <w:p w:rsidR="002F70CE" w:rsidRPr="002F70CE" w:rsidRDefault="002F70CE" w:rsidP="002F70CE">
            <w:pPr>
              <w:pStyle w:val="ListParagraph"/>
              <w:jc w:val="both"/>
              <w:rPr>
                <w:rFonts w:ascii="Arial" w:hAnsi="Arial" w:cs="Arial"/>
              </w:rPr>
            </w:pPr>
          </w:p>
        </w:tc>
      </w:tr>
      <w:tr w:rsidR="00EE70D4" w:rsidRPr="004231B6" w:rsidTr="00EE70D4">
        <w:tc>
          <w:tcPr>
            <w:tcW w:w="642" w:type="dxa"/>
            <w:tcBorders>
              <w:top w:val="nil"/>
              <w:left w:val="nil"/>
              <w:bottom w:val="nil"/>
              <w:right w:val="nil"/>
            </w:tcBorders>
          </w:tcPr>
          <w:p w:rsidR="00EE70D4" w:rsidRPr="004231B6" w:rsidRDefault="00EE70D4" w:rsidP="00EE70D4">
            <w:pPr>
              <w:jc w:val="both"/>
              <w:rPr>
                <w:rFonts w:ascii="Arial" w:hAnsi="Arial" w:cs="Arial"/>
              </w:rPr>
            </w:pPr>
          </w:p>
        </w:tc>
        <w:tc>
          <w:tcPr>
            <w:tcW w:w="805" w:type="dxa"/>
            <w:tcBorders>
              <w:top w:val="nil"/>
              <w:left w:val="nil"/>
              <w:bottom w:val="nil"/>
              <w:right w:val="nil"/>
            </w:tcBorders>
          </w:tcPr>
          <w:p w:rsidR="00EE70D4" w:rsidRPr="004231B6" w:rsidRDefault="00B926A1" w:rsidP="00EE70D4">
            <w:pPr>
              <w:jc w:val="both"/>
              <w:rPr>
                <w:rFonts w:ascii="Arial" w:hAnsi="Arial" w:cs="Arial"/>
              </w:rPr>
            </w:pPr>
            <w:r>
              <w:rPr>
                <w:rFonts w:ascii="Arial" w:hAnsi="Arial" w:cs="Arial"/>
              </w:rPr>
              <w:t>8</w:t>
            </w:r>
            <w:r w:rsidR="00EE70D4">
              <w:rPr>
                <w:rFonts w:ascii="Arial" w:hAnsi="Arial" w:cs="Arial"/>
              </w:rPr>
              <w:t>.5</w:t>
            </w:r>
          </w:p>
        </w:tc>
        <w:tc>
          <w:tcPr>
            <w:tcW w:w="7795" w:type="dxa"/>
            <w:gridSpan w:val="2"/>
            <w:tcBorders>
              <w:top w:val="nil"/>
              <w:left w:val="nil"/>
              <w:bottom w:val="nil"/>
              <w:right w:val="nil"/>
            </w:tcBorders>
          </w:tcPr>
          <w:p w:rsidR="00EE70D4" w:rsidRPr="00EE70D4" w:rsidRDefault="00214E3A" w:rsidP="00EE70D4">
            <w:pPr>
              <w:jc w:val="both"/>
              <w:rPr>
                <w:rFonts w:ascii="Arial" w:hAnsi="Arial" w:cs="Arial"/>
                <w:b/>
              </w:rPr>
            </w:pPr>
            <w:r>
              <w:rPr>
                <w:rFonts w:ascii="Arial" w:hAnsi="Arial" w:cs="Arial"/>
                <w:b/>
              </w:rPr>
              <w:t>Review of outline business case</w:t>
            </w:r>
          </w:p>
          <w:p w:rsidR="00EE70D4" w:rsidRPr="00EE70D4" w:rsidRDefault="00EE70D4" w:rsidP="00EE70D4">
            <w:pPr>
              <w:jc w:val="both"/>
              <w:rPr>
                <w:rFonts w:ascii="Arial" w:hAnsi="Arial" w:cs="Arial"/>
              </w:rPr>
            </w:pPr>
            <w:r w:rsidRPr="00EE70D4">
              <w:rPr>
                <w:rFonts w:ascii="Arial" w:hAnsi="Arial" w:cs="Arial"/>
              </w:rPr>
              <w:t xml:space="preserve">Once the </w:t>
            </w:r>
            <w:r w:rsidR="00F83290">
              <w:rPr>
                <w:rFonts w:ascii="Arial" w:hAnsi="Arial" w:cs="Arial"/>
              </w:rPr>
              <w:t>outline business case has</w:t>
            </w:r>
            <w:r w:rsidRPr="00EE70D4">
              <w:rPr>
                <w:rFonts w:ascii="Arial" w:hAnsi="Arial" w:cs="Arial"/>
              </w:rPr>
              <w:t xml:space="preserve"> been prepared </w:t>
            </w:r>
            <w:r w:rsidR="00F83290">
              <w:rPr>
                <w:rFonts w:ascii="Arial" w:hAnsi="Arial" w:cs="Arial"/>
              </w:rPr>
              <w:t xml:space="preserve">it </w:t>
            </w:r>
            <w:r w:rsidRPr="00EE70D4">
              <w:rPr>
                <w:rFonts w:ascii="Arial" w:hAnsi="Arial" w:cs="Arial"/>
              </w:rPr>
              <w:t xml:space="preserve">will be presented to </w:t>
            </w:r>
            <w:r w:rsidRPr="00F83290">
              <w:rPr>
                <w:rFonts w:ascii="Arial" w:hAnsi="Arial" w:cs="Arial"/>
              </w:rPr>
              <w:t>the QIPP Delivery Group</w:t>
            </w:r>
            <w:r>
              <w:rPr>
                <w:rFonts w:ascii="Arial" w:hAnsi="Arial" w:cs="Arial"/>
              </w:rPr>
              <w:t xml:space="preserve"> </w:t>
            </w:r>
            <w:r w:rsidR="0010670D">
              <w:rPr>
                <w:rFonts w:ascii="Arial" w:hAnsi="Arial" w:cs="Arial"/>
              </w:rPr>
              <w:t xml:space="preserve">and </w:t>
            </w:r>
            <w:r w:rsidR="009936AD">
              <w:rPr>
                <w:rFonts w:ascii="Arial" w:hAnsi="Arial" w:cs="Arial"/>
              </w:rPr>
              <w:t>Clinical Forum</w:t>
            </w:r>
            <w:r w:rsidR="0010670D">
              <w:rPr>
                <w:rFonts w:ascii="Arial" w:hAnsi="Arial" w:cs="Arial"/>
              </w:rPr>
              <w:t xml:space="preserve"> as appropriate</w:t>
            </w:r>
            <w:r w:rsidR="00F83290">
              <w:rPr>
                <w:rFonts w:ascii="Arial" w:hAnsi="Arial" w:cs="Arial"/>
              </w:rPr>
              <w:t xml:space="preserve"> </w:t>
            </w:r>
            <w:r w:rsidRPr="00EE70D4">
              <w:rPr>
                <w:rFonts w:ascii="Arial" w:hAnsi="Arial" w:cs="Arial"/>
              </w:rPr>
              <w:t>for review</w:t>
            </w:r>
            <w:r>
              <w:rPr>
                <w:rFonts w:ascii="Arial" w:hAnsi="Arial" w:cs="Arial"/>
              </w:rPr>
              <w:t xml:space="preserve">. </w:t>
            </w:r>
          </w:p>
          <w:p w:rsidR="00EE70D4" w:rsidRPr="006E6E0E" w:rsidRDefault="00EE70D4" w:rsidP="00EE70D4">
            <w:pPr>
              <w:jc w:val="both"/>
              <w:rPr>
                <w:rFonts w:ascii="Arial" w:hAnsi="Arial" w:cs="Arial"/>
              </w:rPr>
            </w:pPr>
          </w:p>
        </w:tc>
      </w:tr>
      <w:tr w:rsidR="00FC7F8A" w:rsidRPr="004231B6" w:rsidTr="00EE70D4">
        <w:tc>
          <w:tcPr>
            <w:tcW w:w="642" w:type="dxa"/>
            <w:tcBorders>
              <w:top w:val="nil"/>
              <w:left w:val="nil"/>
              <w:bottom w:val="nil"/>
              <w:right w:val="nil"/>
            </w:tcBorders>
          </w:tcPr>
          <w:p w:rsidR="00FC7F8A" w:rsidRPr="004231B6" w:rsidRDefault="00FC7F8A" w:rsidP="00EE70D4">
            <w:pPr>
              <w:jc w:val="both"/>
              <w:rPr>
                <w:rFonts w:ascii="Arial" w:hAnsi="Arial" w:cs="Arial"/>
              </w:rPr>
            </w:pPr>
          </w:p>
        </w:tc>
        <w:tc>
          <w:tcPr>
            <w:tcW w:w="805" w:type="dxa"/>
            <w:tcBorders>
              <w:top w:val="nil"/>
              <w:left w:val="nil"/>
              <w:bottom w:val="nil"/>
              <w:right w:val="nil"/>
            </w:tcBorders>
          </w:tcPr>
          <w:p w:rsidR="00FC7F8A" w:rsidRPr="004231B6" w:rsidRDefault="00FC7F8A" w:rsidP="00EE70D4">
            <w:pPr>
              <w:jc w:val="both"/>
              <w:rPr>
                <w:rFonts w:ascii="Arial" w:hAnsi="Arial" w:cs="Arial"/>
              </w:rPr>
            </w:pPr>
          </w:p>
        </w:tc>
        <w:tc>
          <w:tcPr>
            <w:tcW w:w="984" w:type="dxa"/>
            <w:tcBorders>
              <w:top w:val="nil"/>
              <w:left w:val="nil"/>
              <w:bottom w:val="nil"/>
              <w:right w:val="nil"/>
            </w:tcBorders>
          </w:tcPr>
          <w:p w:rsidR="00FC7F8A" w:rsidRDefault="00B926A1" w:rsidP="00EE70D4">
            <w:pPr>
              <w:jc w:val="both"/>
              <w:rPr>
                <w:rFonts w:ascii="Arial" w:hAnsi="Arial" w:cs="Arial"/>
              </w:rPr>
            </w:pPr>
            <w:r>
              <w:rPr>
                <w:rFonts w:ascii="Arial" w:hAnsi="Arial" w:cs="Arial"/>
              </w:rPr>
              <w:t>8</w:t>
            </w:r>
            <w:r w:rsidR="00621BDC">
              <w:rPr>
                <w:rFonts w:ascii="Arial" w:hAnsi="Arial" w:cs="Arial"/>
              </w:rPr>
              <w:t>.5.1</w:t>
            </w:r>
          </w:p>
        </w:tc>
        <w:tc>
          <w:tcPr>
            <w:tcW w:w="6811" w:type="dxa"/>
            <w:tcBorders>
              <w:top w:val="nil"/>
              <w:left w:val="nil"/>
              <w:bottom w:val="nil"/>
              <w:right w:val="nil"/>
            </w:tcBorders>
          </w:tcPr>
          <w:p w:rsidR="00EE70D4" w:rsidRPr="00EE70D4" w:rsidRDefault="00EE70D4" w:rsidP="00EE70D4">
            <w:pPr>
              <w:jc w:val="both"/>
              <w:rPr>
                <w:rFonts w:ascii="Arial" w:hAnsi="Arial" w:cs="Arial"/>
              </w:rPr>
            </w:pPr>
            <w:r w:rsidRPr="00EE70D4">
              <w:rPr>
                <w:rFonts w:ascii="Arial" w:hAnsi="Arial" w:cs="Arial"/>
              </w:rPr>
              <w:t>The following will be considered by the Group</w:t>
            </w:r>
            <w:r w:rsidR="00C874B7">
              <w:rPr>
                <w:rFonts w:ascii="Arial" w:hAnsi="Arial" w:cs="Arial"/>
              </w:rPr>
              <w:t xml:space="preserve"> / Forum</w:t>
            </w:r>
            <w:r w:rsidRPr="00EE70D4">
              <w:rPr>
                <w:rFonts w:ascii="Arial" w:hAnsi="Arial" w:cs="Arial"/>
              </w:rPr>
              <w:t xml:space="preserve"> when </w:t>
            </w:r>
            <w:r w:rsidR="00214E3A">
              <w:rPr>
                <w:rFonts w:ascii="Arial" w:hAnsi="Arial" w:cs="Arial"/>
              </w:rPr>
              <w:t>reviewing the outline business case</w:t>
            </w:r>
            <w:r w:rsidRPr="00EE70D4">
              <w:rPr>
                <w:rFonts w:ascii="Arial" w:hAnsi="Arial" w:cs="Arial"/>
              </w:rPr>
              <w:t>:</w:t>
            </w:r>
          </w:p>
          <w:p w:rsidR="00621BDC" w:rsidRDefault="00EE70D4" w:rsidP="00EA08AA">
            <w:pPr>
              <w:pStyle w:val="ListParagraph"/>
              <w:numPr>
                <w:ilvl w:val="0"/>
                <w:numId w:val="13"/>
              </w:numPr>
              <w:jc w:val="both"/>
              <w:rPr>
                <w:rFonts w:ascii="Arial" w:hAnsi="Arial" w:cs="Arial"/>
              </w:rPr>
            </w:pPr>
            <w:r w:rsidRPr="00621BDC">
              <w:rPr>
                <w:rFonts w:ascii="Arial" w:hAnsi="Arial" w:cs="Arial"/>
              </w:rPr>
              <w:t>Gaps in c</w:t>
            </w:r>
            <w:r w:rsidR="0024230A">
              <w:rPr>
                <w:rFonts w:ascii="Arial" w:hAnsi="Arial" w:cs="Arial"/>
              </w:rPr>
              <w:t xml:space="preserve">are created by </w:t>
            </w:r>
            <w:r w:rsidRPr="00621BDC">
              <w:rPr>
                <w:rFonts w:ascii="Arial" w:hAnsi="Arial" w:cs="Arial"/>
              </w:rPr>
              <w:t>decommissioning the service</w:t>
            </w:r>
          </w:p>
          <w:p w:rsidR="00621BDC" w:rsidRDefault="00EE70D4" w:rsidP="00EA08AA">
            <w:pPr>
              <w:pStyle w:val="ListParagraph"/>
              <w:numPr>
                <w:ilvl w:val="0"/>
                <w:numId w:val="13"/>
              </w:numPr>
              <w:jc w:val="both"/>
              <w:rPr>
                <w:rFonts w:ascii="Arial" w:hAnsi="Arial" w:cs="Arial"/>
              </w:rPr>
            </w:pPr>
            <w:r w:rsidRPr="00621BDC">
              <w:rPr>
                <w:rFonts w:ascii="Arial" w:hAnsi="Arial" w:cs="Arial"/>
              </w:rPr>
              <w:t xml:space="preserve">Managing </w:t>
            </w:r>
            <w:r w:rsidR="00621BDC">
              <w:rPr>
                <w:rFonts w:ascii="Arial" w:hAnsi="Arial" w:cs="Arial"/>
              </w:rPr>
              <w:t xml:space="preserve">any </w:t>
            </w:r>
            <w:r w:rsidRPr="00621BDC">
              <w:rPr>
                <w:rFonts w:ascii="Arial" w:hAnsi="Arial" w:cs="Arial"/>
              </w:rPr>
              <w:t>negative impact</w:t>
            </w:r>
            <w:r w:rsidR="00621BDC">
              <w:rPr>
                <w:rFonts w:ascii="Arial" w:hAnsi="Arial" w:cs="Arial"/>
              </w:rPr>
              <w:t>s</w:t>
            </w:r>
            <w:r w:rsidRPr="00621BDC">
              <w:rPr>
                <w:rFonts w:ascii="Arial" w:hAnsi="Arial" w:cs="Arial"/>
              </w:rPr>
              <w:t xml:space="preserve"> on the services identified for potential decommissio</w:t>
            </w:r>
            <w:r w:rsidR="00621BDC">
              <w:rPr>
                <w:rFonts w:ascii="Arial" w:hAnsi="Arial" w:cs="Arial"/>
              </w:rPr>
              <w:t>ning and mitigated against them</w:t>
            </w:r>
          </w:p>
          <w:p w:rsidR="00621BDC" w:rsidRDefault="00EE70D4" w:rsidP="00EA08AA">
            <w:pPr>
              <w:pStyle w:val="ListParagraph"/>
              <w:numPr>
                <w:ilvl w:val="0"/>
                <w:numId w:val="13"/>
              </w:numPr>
              <w:jc w:val="both"/>
              <w:rPr>
                <w:rFonts w:ascii="Arial" w:hAnsi="Arial" w:cs="Arial"/>
              </w:rPr>
            </w:pPr>
            <w:r w:rsidRPr="00621BDC">
              <w:rPr>
                <w:rFonts w:ascii="Arial" w:hAnsi="Arial" w:cs="Arial"/>
              </w:rPr>
              <w:t>The patient experience need must be paramount in informing any decision, action should be</w:t>
            </w:r>
            <w:r w:rsidR="00F4589D">
              <w:rPr>
                <w:rFonts w:ascii="Arial" w:hAnsi="Arial" w:cs="Arial"/>
              </w:rPr>
              <w:t xml:space="preserve"> taken to minimis</w:t>
            </w:r>
            <w:r w:rsidRPr="00621BDC">
              <w:rPr>
                <w:rFonts w:ascii="Arial" w:hAnsi="Arial" w:cs="Arial"/>
              </w:rPr>
              <w:t xml:space="preserve">e the impact of gaps in service provision once </w:t>
            </w:r>
            <w:r w:rsidRPr="00621BDC">
              <w:rPr>
                <w:rFonts w:ascii="Arial" w:hAnsi="Arial" w:cs="Arial"/>
              </w:rPr>
              <w:lastRenderedPageBreak/>
              <w:t>the service i</w:t>
            </w:r>
            <w:r w:rsidR="00621BDC">
              <w:rPr>
                <w:rFonts w:ascii="Arial" w:hAnsi="Arial" w:cs="Arial"/>
              </w:rPr>
              <w:t>s decommissioned or disinvested</w:t>
            </w:r>
          </w:p>
          <w:p w:rsidR="00621BDC" w:rsidRDefault="00EE70D4" w:rsidP="00EA08AA">
            <w:pPr>
              <w:pStyle w:val="ListParagraph"/>
              <w:numPr>
                <w:ilvl w:val="0"/>
                <w:numId w:val="13"/>
              </w:numPr>
              <w:jc w:val="both"/>
              <w:rPr>
                <w:rFonts w:ascii="Arial" w:hAnsi="Arial" w:cs="Arial"/>
              </w:rPr>
            </w:pPr>
            <w:r w:rsidRPr="00621BDC">
              <w:rPr>
                <w:rFonts w:ascii="Arial" w:hAnsi="Arial" w:cs="Arial"/>
              </w:rPr>
              <w:t xml:space="preserve">The outcomes of the Quality Impact </w:t>
            </w:r>
            <w:r w:rsidR="00621BDC">
              <w:rPr>
                <w:rFonts w:ascii="Arial" w:hAnsi="Arial" w:cs="Arial"/>
              </w:rPr>
              <w:t>Assessments and Equality</w:t>
            </w:r>
            <w:r w:rsidRPr="00621BDC">
              <w:rPr>
                <w:rFonts w:ascii="Arial" w:hAnsi="Arial" w:cs="Arial"/>
              </w:rPr>
              <w:t xml:space="preserve"> Impact </w:t>
            </w:r>
            <w:r w:rsidR="00621BDC">
              <w:rPr>
                <w:rFonts w:ascii="Arial" w:hAnsi="Arial" w:cs="Arial"/>
              </w:rPr>
              <w:t>A</w:t>
            </w:r>
            <w:r w:rsidRPr="00621BDC">
              <w:rPr>
                <w:rFonts w:ascii="Arial" w:hAnsi="Arial" w:cs="Arial"/>
              </w:rPr>
              <w:t>ssessments must be considered in order to quantify and clarify and positive or negative impact on patient care and the wider c</w:t>
            </w:r>
            <w:r w:rsidR="00621BDC">
              <w:rPr>
                <w:rFonts w:ascii="Arial" w:hAnsi="Arial" w:cs="Arial"/>
              </w:rPr>
              <w:t>ommunity (e</w:t>
            </w:r>
            <w:r w:rsidR="00E7335F">
              <w:rPr>
                <w:rFonts w:ascii="Arial" w:hAnsi="Arial" w:cs="Arial"/>
              </w:rPr>
              <w:t>.</w:t>
            </w:r>
            <w:r w:rsidR="00621BDC">
              <w:rPr>
                <w:rFonts w:ascii="Arial" w:hAnsi="Arial" w:cs="Arial"/>
              </w:rPr>
              <w:t>g</w:t>
            </w:r>
            <w:r w:rsidR="00E7335F">
              <w:rPr>
                <w:rFonts w:ascii="Arial" w:hAnsi="Arial" w:cs="Arial"/>
              </w:rPr>
              <w:t>.</w:t>
            </w:r>
            <w:r w:rsidRPr="00621BDC">
              <w:rPr>
                <w:rFonts w:ascii="Arial" w:hAnsi="Arial" w:cs="Arial"/>
              </w:rPr>
              <w:t>. carers)</w:t>
            </w:r>
          </w:p>
          <w:p w:rsidR="00621BDC" w:rsidRDefault="00EE70D4" w:rsidP="00EA08AA">
            <w:pPr>
              <w:pStyle w:val="ListParagraph"/>
              <w:numPr>
                <w:ilvl w:val="0"/>
                <w:numId w:val="13"/>
              </w:numPr>
              <w:jc w:val="both"/>
              <w:rPr>
                <w:rFonts w:ascii="Arial" w:hAnsi="Arial" w:cs="Arial"/>
              </w:rPr>
            </w:pPr>
            <w:r w:rsidRPr="00621BDC">
              <w:rPr>
                <w:rFonts w:ascii="Arial" w:hAnsi="Arial" w:cs="Arial"/>
              </w:rPr>
              <w:t>The potential destabilising effect on other service</w:t>
            </w:r>
            <w:r w:rsidR="00621BDC">
              <w:rPr>
                <w:rFonts w:ascii="Arial" w:hAnsi="Arial" w:cs="Arial"/>
              </w:rPr>
              <w:t>s</w:t>
            </w:r>
            <w:r w:rsidRPr="00621BDC">
              <w:rPr>
                <w:rFonts w:ascii="Arial" w:hAnsi="Arial" w:cs="Arial"/>
              </w:rPr>
              <w:t xml:space="preserve"> and organisations </w:t>
            </w:r>
            <w:r w:rsidR="00621BDC">
              <w:rPr>
                <w:rFonts w:ascii="Arial" w:hAnsi="Arial" w:cs="Arial"/>
              </w:rPr>
              <w:t>should be fully considered</w:t>
            </w:r>
          </w:p>
          <w:p w:rsidR="00FC7F8A" w:rsidRDefault="00EE70D4" w:rsidP="00EA08AA">
            <w:pPr>
              <w:pStyle w:val="ListParagraph"/>
              <w:numPr>
                <w:ilvl w:val="0"/>
                <w:numId w:val="13"/>
              </w:numPr>
              <w:jc w:val="both"/>
              <w:rPr>
                <w:rFonts w:ascii="Arial" w:hAnsi="Arial" w:cs="Arial"/>
              </w:rPr>
            </w:pPr>
            <w:r w:rsidRPr="00621BDC">
              <w:rPr>
                <w:rFonts w:ascii="Arial" w:hAnsi="Arial" w:cs="Arial"/>
              </w:rPr>
              <w:t>The clinical impact of decommissioning or disinvesting from the provision</w:t>
            </w:r>
            <w:r w:rsidR="00621BDC">
              <w:rPr>
                <w:rFonts w:ascii="Arial" w:hAnsi="Arial" w:cs="Arial"/>
              </w:rPr>
              <w:t>.</w:t>
            </w:r>
          </w:p>
          <w:p w:rsidR="00621BDC" w:rsidRPr="00621BDC" w:rsidRDefault="00621BDC" w:rsidP="00621BDC">
            <w:pPr>
              <w:pStyle w:val="ListParagraph"/>
              <w:jc w:val="both"/>
              <w:rPr>
                <w:rFonts w:ascii="Arial" w:hAnsi="Arial" w:cs="Arial"/>
              </w:rPr>
            </w:pPr>
          </w:p>
        </w:tc>
      </w:tr>
      <w:tr w:rsidR="00FC7F8A" w:rsidRPr="004231B6" w:rsidTr="00EE70D4">
        <w:tc>
          <w:tcPr>
            <w:tcW w:w="642" w:type="dxa"/>
            <w:tcBorders>
              <w:top w:val="nil"/>
              <w:left w:val="nil"/>
              <w:bottom w:val="nil"/>
              <w:right w:val="nil"/>
            </w:tcBorders>
          </w:tcPr>
          <w:p w:rsidR="00FC7F8A" w:rsidRPr="004231B6" w:rsidRDefault="00FC7F8A" w:rsidP="00EE70D4">
            <w:pPr>
              <w:jc w:val="both"/>
              <w:rPr>
                <w:rFonts w:ascii="Arial" w:hAnsi="Arial" w:cs="Arial"/>
              </w:rPr>
            </w:pPr>
          </w:p>
        </w:tc>
        <w:tc>
          <w:tcPr>
            <w:tcW w:w="805" w:type="dxa"/>
            <w:tcBorders>
              <w:top w:val="nil"/>
              <w:left w:val="nil"/>
              <w:bottom w:val="nil"/>
              <w:right w:val="nil"/>
            </w:tcBorders>
          </w:tcPr>
          <w:p w:rsidR="00FC7F8A" w:rsidRPr="004231B6" w:rsidRDefault="00FC7F8A" w:rsidP="00EE70D4">
            <w:pPr>
              <w:jc w:val="both"/>
              <w:rPr>
                <w:rFonts w:ascii="Arial" w:hAnsi="Arial" w:cs="Arial"/>
              </w:rPr>
            </w:pPr>
          </w:p>
        </w:tc>
        <w:tc>
          <w:tcPr>
            <w:tcW w:w="984" w:type="dxa"/>
            <w:tcBorders>
              <w:top w:val="nil"/>
              <w:left w:val="nil"/>
              <w:bottom w:val="nil"/>
              <w:right w:val="nil"/>
            </w:tcBorders>
          </w:tcPr>
          <w:p w:rsidR="00FC7F8A" w:rsidRDefault="00B926A1" w:rsidP="00EE70D4">
            <w:pPr>
              <w:jc w:val="both"/>
              <w:rPr>
                <w:rFonts w:ascii="Arial" w:hAnsi="Arial" w:cs="Arial"/>
              </w:rPr>
            </w:pPr>
            <w:r>
              <w:rPr>
                <w:rFonts w:ascii="Arial" w:hAnsi="Arial" w:cs="Arial"/>
              </w:rPr>
              <w:t>8</w:t>
            </w:r>
            <w:r w:rsidR="00621BDC">
              <w:rPr>
                <w:rFonts w:ascii="Arial" w:hAnsi="Arial" w:cs="Arial"/>
              </w:rPr>
              <w:t>.5.2</w:t>
            </w:r>
          </w:p>
        </w:tc>
        <w:tc>
          <w:tcPr>
            <w:tcW w:w="6811" w:type="dxa"/>
            <w:tcBorders>
              <w:top w:val="nil"/>
              <w:left w:val="nil"/>
              <w:bottom w:val="nil"/>
              <w:right w:val="nil"/>
            </w:tcBorders>
          </w:tcPr>
          <w:p w:rsidR="00621BDC" w:rsidRPr="00621BDC" w:rsidRDefault="00621BDC" w:rsidP="00621BDC">
            <w:pPr>
              <w:jc w:val="both"/>
              <w:rPr>
                <w:rFonts w:ascii="Arial" w:hAnsi="Arial" w:cs="Arial"/>
              </w:rPr>
            </w:pPr>
            <w:r w:rsidRPr="00621BDC">
              <w:rPr>
                <w:rFonts w:ascii="Arial" w:hAnsi="Arial" w:cs="Arial"/>
              </w:rPr>
              <w:t xml:space="preserve">Following the </w:t>
            </w:r>
            <w:r w:rsidRPr="00C874B7">
              <w:rPr>
                <w:rFonts w:ascii="Arial" w:hAnsi="Arial" w:cs="Arial"/>
              </w:rPr>
              <w:t>QIPP Delivery Group</w:t>
            </w:r>
            <w:r w:rsidR="002B3B0E" w:rsidRPr="00C874B7">
              <w:rPr>
                <w:rFonts w:ascii="Arial" w:hAnsi="Arial" w:cs="Arial"/>
              </w:rPr>
              <w:t xml:space="preserve"> and </w:t>
            </w:r>
            <w:r w:rsidR="009936AD" w:rsidRPr="00C874B7">
              <w:rPr>
                <w:rFonts w:ascii="Arial" w:hAnsi="Arial" w:cs="Arial"/>
              </w:rPr>
              <w:t>Clinical Forum</w:t>
            </w:r>
            <w:r w:rsidRPr="00C874B7">
              <w:rPr>
                <w:rFonts w:ascii="Arial" w:hAnsi="Arial" w:cs="Arial"/>
              </w:rPr>
              <w:t>’s</w:t>
            </w:r>
            <w:r>
              <w:rPr>
                <w:rFonts w:ascii="Arial" w:hAnsi="Arial" w:cs="Arial"/>
              </w:rPr>
              <w:t xml:space="preserve"> </w:t>
            </w:r>
            <w:r w:rsidRPr="00621BDC">
              <w:rPr>
                <w:rFonts w:ascii="Arial" w:hAnsi="Arial" w:cs="Arial"/>
              </w:rPr>
              <w:t>review, any proposed change</w:t>
            </w:r>
            <w:r>
              <w:rPr>
                <w:rFonts w:ascii="Arial" w:hAnsi="Arial" w:cs="Arial"/>
              </w:rPr>
              <w:t>s</w:t>
            </w:r>
            <w:r w:rsidRPr="00621BDC">
              <w:rPr>
                <w:rFonts w:ascii="Arial" w:hAnsi="Arial" w:cs="Arial"/>
              </w:rPr>
              <w:t xml:space="preserve"> will be communicated clearly back to the leads as part of the process</w:t>
            </w:r>
            <w:r w:rsidR="00C874B7">
              <w:rPr>
                <w:rFonts w:ascii="Arial" w:hAnsi="Arial" w:cs="Arial"/>
              </w:rPr>
              <w:t xml:space="preserve"> to create the final business case</w:t>
            </w:r>
            <w:r w:rsidRPr="00621BDC">
              <w:rPr>
                <w:rFonts w:ascii="Arial" w:hAnsi="Arial" w:cs="Arial"/>
              </w:rPr>
              <w:t>.</w:t>
            </w:r>
          </w:p>
          <w:p w:rsidR="00621BDC" w:rsidRPr="00621BDC" w:rsidRDefault="00621BDC" w:rsidP="00621BDC">
            <w:pPr>
              <w:jc w:val="both"/>
              <w:rPr>
                <w:rFonts w:ascii="Arial" w:hAnsi="Arial" w:cs="Arial"/>
              </w:rPr>
            </w:pPr>
          </w:p>
          <w:p w:rsidR="00621BDC" w:rsidRPr="00621BDC" w:rsidRDefault="00621BDC" w:rsidP="00621BDC">
            <w:pPr>
              <w:jc w:val="both"/>
              <w:rPr>
                <w:rFonts w:ascii="Arial" w:hAnsi="Arial" w:cs="Arial"/>
              </w:rPr>
            </w:pPr>
            <w:r w:rsidRPr="00621BDC">
              <w:rPr>
                <w:rFonts w:ascii="Arial" w:hAnsi="Arial" w:cs="Arial"/>
              </w:rPr>
              <w:t>The lead</w:t>
            </w:r>
            <w:r>
              <w:rPr>
                <w:rFonts w:ascii="Arial" w:hAnsi="Arial" w:cs="Arial"/>
              </w:rPr>
              <w:t>s</w:t>
            </w:r>
            <w:r w:rsidRPr="00621BDC">
              <w:rPr>
                <w:rFonts w:ascii="Arial" w:hAnsi="Arial" w:cs="Arial"/>
              </w:rPr>
              <w:t xml:space="preserve"> will </w:t>
            </w:r>
            <w:r w:rsidR="00F4589D">
              <w:rPr>
                <w:rFonts w:ascii="Arial" w:hAnsi="Arial" w:cs="Arial"/>
              </w:rPr>
              <w:t>update the</w:t>
            </w:r>
            <w:r>
              <w:rPr>
                <w:rFonts w:ascii="Arial" w:hAnsi="Arial" w:cs="Arial"/>
              </w:rPr>
              <w:t xml:space="preserve"> </w:t>
            </w:r>
            <w:r w:rsidRPr="00621BDC">
              <w:rPr>
                <w:rFonts w:ascii="Arial" w:hAnsi="Arial" w:cs="Arial"/>
              </w:rPr>
              <w:t xml:space="preserve">Equality </w:t>
            </w:r>
            <w:r>
              <w:rPr>
                <w:rFonts w:ascii="Arial" w:hAnsi="Arial" w:cs="Arial"/>
              </w:rPr>
              <w:t>Impact Assessment Form (</w:t>
            </w:r>
            <w:proofErr w:type="gramStart"/>
            <w:r>
              <w:rPr>
                <w:rFonts w:ascii="Arial" w:hAnsi="Arial" w:cs="Arial"/>
              </w:rPr>
              <w:t>EIA),</w:t>
            </w:r>
            <w:proofErr w:type="gramEnd"/>
            <w:r>
              <w:rPr>
                <w:rFonts w:ascii="Arial" w:hAnsi="Arial" w:cs="Arial"/>
              </w:rPr>
              <w:t xml:space="preserve"> and </w:t>
            </w:r>
            <w:r w:rsidRPr="00621BDC">
              <w:rPr>
                <w:rFonts w:ascii="Arial" w:hAnsi="Arial" w:cs="Arial"/>
              </w:rPr>
              <w:t>Quality Impact Assessment Form (QIA)</w:t>
            </w:r>
            <w:r>
              <w:rPr>
                <w:rFonts w:ascii="Arial" w:hAnsi="Arial" w:cs="Arial"/>
              </w:rPr>
              <w:t xml:space="preserve"> as necessary and prepare a </w:t>
            </w:r>
            <w:r w:rsidR="002B3B0E">
              <w:rPr>
                <w:rFonts w:ascii="Arial" w:hAnsi="Arial" w:cs="Arial"/>
              </w:rPr>
              <w:t xml:space="preserve">full business case </w:t>
            </w:r>
            <w:r>
              <w:rPr>
                <w:rFonts w:ascii="Arial" w:hAnsi="Arial" w:cs="Arial"/>
              </w:rPr>
              <w:t xml:space="preserve">for consideration by the </w:t>
            </w:r>
            <w:r w:rsidRPr="00621BDC">
              <w:rPr>
                <w:rFonts w:ascii="Arial" w:hAnsi="Arial" w:cs="Arial"/>
              </w:rPr>
              <w:t>QIPP Delivery</w:t>
            </w:r>
            <w:r>
              <w:rPr>
                <w:rFonts w:ascii="Arial" w:hAnsi="Arial" w:cs="Arial"/>
              </w:rPr>
              <w:t xml:space="preserve"> Group</w:t>
            </w:r>
            <w:r w:rsidR="002B3B0E">
              <w:rPr>
                <w:rFonts w:ascii="Arial" w:hAnsi="Arial" w:cs="Arial"/>
              </w:rPr>
              <w:t xml:space="preserve"> prior to Governing Body for approval.</w:t>
            </w:r>
          </w:p>
          <w:p w:rsidR="00FC7F8A" w:rsidRPr="006E6E0E" w:rsidRDefault="00FC7F8A" w:rsidP="00621BDC">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AC4636">
            <w:pPr>
              <w:jc w:val="both"/>
              <w:rPr>
                <w:rFonts w:ascii="Arial" w:hAnsi="Arial" w:cs="Arial"/>
              </w:rPr>
            </w:pPr>
            <w:r>
              <w:rPr>
                <w:rFonts w:ascii="Arial" w:hAnsi="Arial" w:cs="Arial"/>
              </w:rPr>
              <w:t>8.6</w:t>
            </w:r>
          </w:p>
        </w:tc>
        <w:tc>
          <w:tcPr>
            <w:tcW w:w="7795" w:type="dxa"/>
            <w:gridSpan w:val="2"/>
            <w:tcBorders>
              <w:top w:val="nil"/>
              <w:left w:val="nil"/>
              <w:bottom w:val="nil"/>
              <w:right w:val="nil"/>
            </w:tcBorders>
          </w:tcPr>
          <w:p w:rsidR="00AC4636" w:rsidRPr="00EB42FD" w:rsidRDefault="00AC4636" w:rsidP="008B4778">
            <w:pPr>
              <w:jc w:val="both"/>
              <w:rPr>
                <w:rFonts w:ascii="Arial" w:hAnsi="Arial" w:cs="Arial"/>
                <w:b/>
              </w:rPr>
            </w:pPr>
            <w:r w:rsidRPr="00EB42FD">
              <w:rPr>
                <w:rFonts w:ascii="Arial" w:hAnsi="Arial" w:cs="Arial"/>
                <w:b/>
              </w:rPr>
              <w:t>Engagement Process</w:t>
            </w:r>
          </w:p>
          <w:p w:rsidR="00D75D4C" w:rsidRDefault="00AC4636" w:rsidP="008B4778">
            <w:pPr>
              <w:jc w:val="both"/>
              <w:rPr>
                <w:rFonts w:ascii="Arial" w:hAnsi="Arial" w:cs="Arial"/>
              </w:rPr>
            </w:pPr>
            <w:r>
              <w:rPr>
                <w:rFonts w:ascii="Arial" w:hAnsi="Arial" w:cs="Arial"/>
              </w:rPr>
              <w:t xml:space="preserve">As part of the process of preparing a full business case for presentation to the Governing Body, appropriate </w:t>
            </w:r>
            <w:r w:rsidRPr="00EB42FD">
              <w:rPr>
                <w:rFonts w:ascii="Arial" w:hAnsi="Arial" w:cs="Arial"/>
              </w:rPr>
              <w:t>engagement will</w:t>
            </w:r>
            <w:r>
              <w:rPr>
                <w:rFonts w:ascii="Arial" w:hAnsi="Arial" w:cs="Arial"/>
              </w:rPr>
              <w:t xml:space="preserve"> take place</w:t>
            </w:r>
            <w:r w:rsidRPr="00EB42FD">
              <w:rPr>
                <w:rFonts w:ascii="Arial" w:hAnsi="Arial" w:cs="Arial"/>
              </w:rPr>
              <w:t>.</w:t>
            </w:r>
            <w:r>
              <w:rPr>
                <w:rFonts w:ascii="Arial" w:hAnsi="Arial" w:cs="Arial"/>
              </w:rPr>
              <w:t xml:space="preserve"> </w:t>
            </w:r>
            <w:r w:rsidRPr="00EB42FD">
              <w:rPr>
                <w:rFonts w:ascii="Arial" w:hAnsi="Arial" w:cs="Arial"/>
              </w:rPr>
              <w:t xml:space="preserve">The engagement guidelines </w:t>
            </w:r>
            <w:r w:rsidR="00606C3B">
              <w:rPr>
                <w:rFonts w:ascii="Arial" w:hAnsi="Arial" w:cs="Arial"/>
              </w:rPr>
              <w:t xml:space="preserve">within the CCG’s programme management arrangements </w:t>
            </w:r>
            <w:r w:rsidRPr="00EB42FD">
              <w:rPr>
                <w:rFonts w:ascii="Arial" w:hAnsi="Arial" w:cs="Arial"/>
              </w:rPr>
              <w:t>provide an overview of the process that will be followed</w:t>
            </w:r>
            <w:r>
              <w:rPr>
                <w:rFonts w:ascii="Arial" w:hAnsi="Arial" w:cs="Arial"/>
              </w:rPr>
              <w:t xml:space="preserve">. </w:t>
            </w:r>
            <w:r w:rsidR="00606C3B">
              <w:rPr>
                <w:rFonts w:ascii="Arial" w:hAnsi="Arial" w:cs="Arial"/>
              </w:rPr>
              <w:t xml:space="preserve">These guidelines are informed by the </w:t>
            </w:r>
            <w:r w:rsidR="00606C3B" w:rsidRPr="00606C3B">
              <w:rPr>
                <w:rFonts w:ascii="Arial" w:hAnsi="Arial" w:cs="Arial"/>
                <w:i/>
              </w:rPr>
              <w:t>Patient and Public Participation in Commissioning Health and Care: Statutory Guidance for CCGs and NHS England.</w:t>
            </w:r>
          </w:p>
          <w:p w:rsidR="00D75D4C" w:rsidRDefault="00D75D4C" w:rsidP="008B4778">
            <w:pPr>
              <w:jc w:val="both"/>
              <w:rPr>
                <w:rFonts w:ascii="Arial" w:hAnsi="Arial" w:cs="Arial"/>
              </w:rPr>
            </w:pPr>
          </w:p>
          <w:p w:rsidR="00AC4636" w:rsidRPr="00EB42FD" w:rsidRDefault="00AC4636" w:rsidP="008B4778">
            <w:pPr>
              <w:jc w:val="both"/>
              <w:rPr>
                <w:rFonts w:ascii="Arial" w:hAnsi="Arial" w:cs="Arial"/>
              </w:rPr>
            </w:pPr>
            <w:r w:rsidRPr="00EB42FD">
              <w:rPr>
                <w:rFonts w:ascii="Arial" w:hAnsi="Arial" w:cs="Arial"/>
              </w:rPr>
              <w:t>The engagement guidelines are not intended to cover all situations, but to provide some ideas for engagement for the de</w:t>
            </w:r>
            <w:r>
              <w:rPr>
                <w:rFonts w:ascii="Arial" w:hAnsi="Arial" w:cs="Arial"/>
              </w:rPr>
              <w:t xml:space="preserve">commissioning </w:t>
            </w:r>
            <w:r w:rsidRPr="00EB42FD">
              <w:rPr>
                <w:rFonts w:ascii="Arial" w:hAnsi="Arial" w:cs="Arial"/>
              </w:rPr>
              <w:t>of services.</w:t>
            </w:r>
            <w:r>
              <w:rPr>
                <w:rFonts w:ascii="Arial" w:hAnsi="Arial" w:cs="Arial"/>
              </w:rPr>
              <w:t xml:space="preserve"> </w:t>
            </w:r>
            <w:r w:rsidRPr="00EB42FD">
              <w:rPr>
                <w:rFonts w:ascii="Arial" w:hAnsi="Arial" w:cs="Arial"/>
              </w:rPr>
              <w:t xml:space="preserve">Further advice will always be sought from the </w:t>
            </w:r>
            <w:r w:rsidR="00D75D4C">
              <w:rPr>
                <w:rFonts w:ascii="Arial" w:hAnsi="Arial" w:cs="Arial"/>
              </w:rPr>
              <w:t>C</w:t>
            </w:r>
            <w:r w:rsidRPr="00EB42FD">
              <w:rPr>
                <w:rFonts w:ascii="Arial" w:hAnsi="Arial" w:cs="Arial"/>
              </w:rPr>
              <w:t xml:space="preserve">ommunications and </w:t>
            </w:r>
            <w:r w:rsidR="00D75D4C">
              <w:rPr>
                <w:rFonts w:ascii="Arial" w:hAnsi="Arial" w:cs="Arial"/>
              </w:rPr>
              <w:t>E</w:t>
            </w:r>
            <w:r w:rsidRPr="00EB42FD">
              <w:rPr>
                <w:rFonts w:ascii="Arial" w:hAnsi="Arial" w:cs="Arial"/>
              </w:rPr>
              <w:t xml:space="preserve">ngagement </w:t>
            </w:r>
            <w:r w:rsidR="00D75D4C">
              <w:rPr>
                <w:rFonts w:ascii="Arial" w:hAnsi="Arial" w:cs="Arial"/>
              </w:rPr>
              <w:t>T</w:t>
            </w:r>
            <w:r w:rsidRPr="00EB42FD">
              <w:rPr>
                <w:rFonts w:ascii="Arial" w:hAnsi="Arial" w:cs="Arial"/>
              </w:rPr>
              <w:t>eam regarding the type of engagement required.</w:t>
            </w:r>
          </w:p>
          <w:p w:rsidR="00AC4636" w:rsidRPr="006E6E0E" w:rsidRDefault="00AC4636" w:rsidP="008B4778">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8B4778">
            <w:pPr>
              <w:jc w:val="both"/>
              <w:rPr>
                <w:rFonts w:ascii="Arial" w:hAnsi="Arial" w:cs="Arial"/>
              </w:rPr>
            </w:pPr>
          </w:p>
        </w:tc>
        <w:tc>
          <w:tcPr>
            <w:tcW w:w="984" w:type="dxa"/>
            <w:tcBorders>
              <w:top w:val="nil"/>
              <w:left w:val="nil"/>
              <w:bottom w:val="nil"/>
              <w:right w:val="nil"/>
            </w:tcBorders>
          </w:tcPr>
          <w:p w:rsidR="00AC4636" w:rsidRDefault="00AC4636" w:rsidP="00D75D4C">
            <w:pPr>
              <w:jc w:val="both"/>
              <w:rPr>
                <w:rFonts w:ascii="Arial" w:hAnsi="Arial" w:cs="Arial"/>
              </w:rPr>
            </w:pPr>
            <w:r>
              <w:rPr>
                <w:rFonts w:ascii="Arial" w:hAnsi="Arial" w:cs="Arial"/>
              </w:rPr>
              <w:t>8.</w:t>
            </w:r>
            <w:r w:rsidR="00D75D4C">
              <w:rPr>
                <w:rFonts w:ascii="Arial" w:hAnsi="Arial" w:cs="Arial"/>
              </w:rPr>
              <w:t>6</w:t>
            </w:r>
            <w:r>
              <w:rPr>
                <w:rFonts w:ascii="Arial" w:hAnsi="Arial" w:cs="Arial"/>
              </w:rPr>
              <w:t>.1</w:t>
            </w:r>
          </w:p>
        </w:tc>
        <w:tc>
          <w:tcPr>
            <w:tcW w:w="6811" w:type="dxa"/>
            <w:tcBorders>
              <w:top w:val="nil"/>
              <w:left w:val="nil"/>
              <w:bottom w:val="nil"/>
              <w:right w:val="nil"/>
            </w:tcBorders>
          </w:tcPr>
          <w:p w:rsidR="00AC4636" w:rsidRPr="00606C3B" w:rsidRDefault="00AC4636" w:rsidP="008B4778">
            <w:pPr>
              <w:jc w:val="both"/>
              <w:rPr>
                <w:rFonts w:ascii="Arial" w:hAnsi="Arial" w:cs="Arial"/>
              </w:rPr>
            </w:pPr>
            <w:r w:rsidRPr="00606C3B">
              <w:rPr>
                <w:rFonts w:ascii="Arial" w:hAnsi="Arial" w:cs="Arial"/>
              </w:rPr>
              <w:t xml:space="preserve">The CCG will communicate clearly, fully and continuously with the provider of the service and all stakeholders following </w:t>
            </w:r>
            <w:r w:rsidR="00606C3B" w:rsidRPr="00606C3B">
              <w:rPr>
                <w:rFonts w:ascii="Arial" w:hAnsi="Arial" w:cs="Arial"/>
              </w:rPr>
              <w:t xml:space="preserve">the approval of an outline business case to consider </w:t>
            </w:r>
            <w:r w:rsidRPr="00606C3B">
              <w:rPr>
                <w:rFonts w:ascii="Arial" w:hAnsi="Arial" w:cs="Arial"/>
              </w:rPr>
              <w:t xml:space="preserve">potential decommissioning of </w:t>
            </w:r>
            <w:r w:rsidR="00606C3B" w:rsidRPr="00606C3B">
              <w:rPr>
                <w:rFonts w:ascii="Arial" w:hAnsi="Arial" w:cs="Arial"/>
              </w:rPr>
              <w:t xml:space="preserve">a </w:t>
            </w:r>
            <w:r w:rsidRPr="00606C3B">
              <w:rPr>
                <w:rFonts w:ascii="Arial" w:hAnsi="Arial" w:cs="Arial"/>
              </w:rPr>
              <w:t xml:space="preserve">service. </w:t>
            </w:r>
          </w:p>
          <w:p w:rsidR="00AC4636" w:rsidRPr="006E6E0E" w:rsidRDefault="00AC4636" w:rsidP="008B4778">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8B4778">
            <w:pPr>
              <w:jc w:val="both"/>
              <w:rPr>
                <w:rFonts w:ascii="Arial" w:hAnsi="Arial" w:cs="Arial"/>
              </w:rPr>
            </w:pPr>
          </w:p>
        </w:tc>
        <w:tc>
          <w:tcPr>
            <w:tcW w:w="984" w:type="dxa"/>
            <w:tcBorders>
              <w:top w:val="nil"/>
              <w:left w:val="nil"/>
              <w:bottom w:val="nil"/>
              <w:right w:val="nil"/>
            </w:tcBorders>
          </w:tcPr>
          <w:p w:rsidR="00AC4636" w:rsidRDefault="00AC4636" w:rsidP="00D75D4C">
            <w:pPr>
              <w:jc w:val="both"/>
              <w:rPr>
                <w:rFonts w:ascii="Arial" w:hAnsi="Arial" w:cs="Arial"/>
              </w:rPr>
            </w:pPr>
            <w:r>
              <w:rPr>
                <w:rFonts w:ascii="Arial" w:hAnsi="Arial" w:cs="Arial"/>
              </w:rPr>
              <w:t>8.</w:t>
            </w:r>
            <w:r w:rsidR="00D75D4C">
              <w:rPr>
                <w:rFonts w:ascii="Arial" w:hAnsi="Arial" w:cs="Arial"/>
              </w:rPr>
              <w:t>6</w:t>
            </w:r>
            <w:r>
              <w:rPr>
                <w:rFonts w:ascii="Arial" w:hAnsi="Arial" w:cs="Arial"/>
              </w:rPr>
              <w:t>.2</w:t>
            </w:r>
          </w:p>
        </w:tc>
        <w:tc>
          <w:tcPr>
            <w:tcW w:w="6811" w:type="dxa"/>
            <w:tcBorders>
              <w:top w:val="nil"/>
              <w:left w:val="nil"/>
              <w:bottom w:val="nil"/>
              <w:right w:val="nil"/>
            </w:tcBorders>
          </w:tcPr>
          <w:p w:rsidR="00AC4636" w:rsidRDefault="00AC4636" w:rsidP="008B4778">
            <w:pPr>
              <w:jc w:val="both"/>
              <w:rPr>
                <w:rFonts w:ascii="Arial" w:hAnsi="Arial" w:cs="Arial"/>
              </w:rPr>
            </w:pPr>
            <w:r w:rsidRPr="00EB42FD">
              <w:rPr>
                <w:rFonts w:ascii="Arial" w:hAnsi="Arial" w:cs="Arial"/>
              </w:rPr>
              <w:t>The engagement will include the appropriate methods and timescales to engage with the public, patients and stakeholders.</w:t>
            </w:r>
            <w:r>
              <w:rPr>
                <w:rFonts w:ascii="Arial" w:hAnsi="Arial" w:cs="Arial"/>
              </w:rPr>
              <w:t xml:space="preserve"> </w:t>
            </w:r>
            <w:r w:rsidRPr="00EB42FD">
              <w:rPr>
                <w:rFonts w:ascii="Arial" w:hAnsi="Arial" w:cs="Arial"/>
              </w:rPr>
              <w:t>Each situation, or event, needs to be tailored to the topic and/or target group, depending on the number of people affected.</w:t>
            </w:r>
          </w:p>
          <w:p w:rsidR="00D75D4C" w:rsidRPr="006E6E0E" w:rsidRDefault="00D75D4C" w:rsidP="008B4778">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8B4778">
            <w:pPr>
              <w:jc w:val="both"/>
              <w:rPr>
                <w:rFonts w:ascii="Arial" w:hAnsi="Arial" w:cs="Arial"/>
              </w:rPr>
            </w:pPr>
          </w:p>
        </w:tc>
        <w:tc>
          <w:tcPr>
            <w:tcW w:w="984" w:type="dxa"/>
            <w:tcBorders>
              <w:top w:val="nil"/>
              <w:left w:val="nil"/>
              <w:bottom w:val="nil"/>
              <w:right w:val="nil"/>
            </w:tcBorders>
          </w:tcPr>
          <w:p w:rsidR="00AC4636" w:rsidRDefault="00AC4636" w:rsidP="00D75D4C">
            <w:pPr>
              <w:jc w:val="both"/>
              <w:rPr>
                <w:rFonts w:ascii="Arial" w:hAnsi="Arial" w:cs="Arial"/>
              </w:rPr>
            </w:pPr>
            <w:r>
              <w:rPr>
                <w:rFonts w:ascii="Arial" w:hAnsi="Arial" w:cs="Arial"/>
              </w:rPr>
              <w:t>8.</w:t>
            </w:r>
            <w:r w:rsidR="00D75D4C">
              <w:rPr>
                <w:rFonts w:ascii="Arial" w:hAnsi="Arial" w:cs="Arial"/>
              </w:rPr>
              <w:t>6</w:t>
            </w:r>
            <w:r>
              <w:rPr>
                <w:rFonts w:ascii="Arial" w:hAnsi="Arial" w:cs="Arial"/>
              </w:rPr>
              <w:t>.3</w:t>
            </w:r>
          </w:p>
        </w:tc>
        <w:tc>
          <w:tcPr>
            <w:tcW w:w="6811" w:type="dxa"/>
            <w:tcBorders>
              <w:top w:val="nil"/>
              <w:left w:val="nil"/>
              <w:bottom w:val="nil"/>
              <w:right w:val="nil"/>
            </w:tcBorders>
          </w:tcPr>
          <w:p w:rsidR="00AC4636" w:rsidRPr="00EB42FD" w:rsidRDefault="00AC4636" w:rsidP="008B4778">
            <w:pPr>
              <w:jc w:val="both"/>
              <w:rPr>
                <w:rFonts w:ascii="Arial" w:hAnsi="Arial" w:cs="Arial"/>
              </w:rPr>
            </w:pPr>
            <w:r w:rsidRPr="00EB42FD">
              <w:rPr>
                <w:rFonts w:ascii="Arial" w:hAnsi="Arial" w:cs="Arial"/>
              </w:rPr>
              <w:t>For any substantial service change an appropriate period of</w:t>
            </w:r>
            <w:r w:rsidR="005461F8">
              <w:rPr>
                <w:rFonts w:ascii="Arial" w:hAnsi="Arial" w:cs="Arial"/>
              </w:rPr>
              <w:t xml:space="preserve"> engagement and</w:t>
            </w:r>
            <w:r w:rsidRPr="00EB42FD">
              <w:rPr>
                <w:rFonts w:ascii="Arial" w:hAnsi="Arial" w:cs="Arial"/>
              </w:rPr>
              <w:t xml:space="preserve"> consultation will be undertaken before any decision to decommission is made.</w:t>
            </w:r>
          </w:p>
          <w:p w:rsidR="00AC4636" w:rsidRPr="006E6E0E" w:rsidRDefault="00AC4636" w:rsidP="008B4778">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8B4778">
            <w:pPr>
              <w:jc w:val="both"/>
              <w:rPr>
                <w:rFonts w:ascii="Arial" w:hAnsi="Arial" w:cs="Arial"/>
              </w:rPr>
            </w:pPr>
          </w:p>
        </w:tc>
        <w:tc>
          <w:tcPr>
            <w:tcW w:w="984" w:type="dxa"/>
            <w:tcBorders>
              <w:top w:val="nil"/>
              <w:left w:val="nil"/>
              <w:bottom w:val="nil"/>
              <w:right w:val="nil"/>
            </w:tcBorders>
          </w:tcPr>
          <w:p w:rsidR="00AC4636" w:rsidRDefault="00AC4636" w:rsidP="00D75D4C">
            <w:pPr>
              <w:jc w:val="both"/>
              <w:rPr>
                <w:rFonts w:ascii="Arial" w:hAnsi="Arial" w:cs="Arial"/>
              </w:rPr>
            </w:pPr>
            <w:r>
              <w:rPr>
                <w:rFonts w:ascii="Arial" w:hAnsi="Arial" w:cs="Arial"/>
              </w:rPr>
              <w:t>8.</w:t>
            </w:r>
            <w:r w:rsidR="00D75D4C">
              <w:rPr>
                <w:rFonts w:ascii="Arial" w:hAnsi="Arial" w:cs="Arial"/>
              </w:rPr>
              <w:t>6</w:t>
            </w:r>
            <w:r>
              <w:rPr>
                <w:rFonts w:ascii="Arial" w:hAnsi="Arial" w:cs="Arial"/>
              </w:rPr>
              <w:t>.4</w:t>
            </w:r>
          </w:p>
        </w:tc>
        <w:tc>
          <w:tcPr>
            <w:tcW w:w="6811" w:type="dxa"/>
            <w:tcBorders>
              <w:top w:val="nil"/>
              <w:left w:val="nil"/>
              <w:bottom w:val="nil"/>
              <w:right w:val="nil"/>
            </w:tcBorders>
          </w:tcPr>
          <w:p w:rsidR="00D75D4C" w:rsidRDefault="00AC4636" w:rsidP="008B4778">
            <w:pPr>
              <w:jc w:val="both"/>
              <w:rPr>
                <w:rFonts w:ascii="Arial" w:hAnsi="Arial" w:cs="Arial"/>
              </w:rPr>
            </w:pPr>
            <w:r w:rsidRPr="00EB42FD">
              <w:rPr>
                <w:rFonts w:ascii="Arial" w:hAnsi="Arial" w:cs="Arial"/>
              </w:rPr>
              <w:t xml:space="preserve">The feedback from all </w:t>
            </w:r>
            <w:r w:rsidR="00606C3B">
              <w:rPr>
                <w:rFonts w:ascii="Arial" w:hAnsi="Arial" w:cs="Arial"/>
              </w:rPr>
              <w:t xml:space="preserve">engagement activity </w:t>
            </w:r>
            <w:r w:rsidRPr="00EB42FD">
              <w:rPr>
                <w:rFonts w:ascii="Arial" w:hAnsi="Arial" w:cs="Arial"/>
              </w:rPr>
              <w:t>will be fully reviewed and analysed and will be used to assist in the decision making process.</w:t>
            </w:r>
          </w:p>
          <w:p w:rsidR="005461F8" w:rsidRPr="006E6E0E" w:rsidRDefault="005461F8" w:rsidP="008B4778">
            <w:pPr>
              <w:jc w:val="both"/>
              <w:rPr>
                <w:rFonts w:ascii="Arial" w:hAnsi="Arial" w:cs="Arial"/>
              </w:rPr>
            </w:pPr>
          </w:p>
        </w:tc>
      </w:tr>
      <w:tr w:rsidR="00AC4636" w:rsidRPr="004231B6" w:rsidTr="008B4778">
        <w:tc>
          <w:tcPr>
            <w:tcW w:w="642" w:type="dxa"/>
            <w:tcBorders>
              <w:top w:val="nil"/>
              <w:left w:val="nil"/>
              <w:bottom w:val="nil"/>
              <w:right w:val="nil"/>
            </w:tcBorders>
          </w:tcPr>
          <w:p w:rsidR="00AC4636" w:rsidRPr="004231B6" w:rsidRDefault="00AC4636" w:rsidP="008B4778">
            <w:pPr>
              <w:jc w:val="both"/>
              <w:rPr>
                <w:rFonts w:ascii="Arial" w:hAnsi="Arial" w:cs="Arial"/>
              </w:rPr>
            </w:pPr>
          </w:p>
        </w:tc>
        <w:tc>
          <w:tcPr>
            <w:tcW w:w="805" w:type="dxa"/>
            <w:tcBorders>
              <w:top w:val="nil"/>
              <w:left w:val="nil"/>
              <w:bottom w:val="nil"/>
              <w:right w:val="nil"/>
            </w:tcBorders>
          </w:tcPr>
          <w:p w:rsidR="00AC4636" w:rsidRPr="004231B6" w:rsidRDefault="00AC4636" w:rsidP="008B4778">
            <w:pPr>
              <w:jc w:val="both"/>
              <w:rPr>
                <w:rFonts w:ascii="Arial" w:hAnsi="Arial" w:cs="Arial"/>
              </w:rPr>
            </w:pPr>
          </w:p>
        </w:tc>
        <w:tc>
          <w:tcPr>
            <w:tcW w:w="984" w:type="dxa"/>
            <w:tcBorders>
              <w:top w:val="nil"/>
              <w:left w:val="nil"/>
              <w:bottom w:val="nil"/>
              <w:right w:val="nil"/>
            </w:tcBorders>
          </w:tcPr>
          <w:p w:rsidR="00AC4636" w:rsidRDefault="00D75D4C" w:rsidP="008B4778">
            <w:pPr>
              <w:jc w:val="both"/>
              <w:rPr>
                <w:rFonts w:ascii="Arial" w:hAnsi="Arial" w:cs="Arial"/>
              </w:rPr>
            </w:pPr>
            <w:r>
              <w:rPr>
                <w:rFonts w:ascii="Arial" w:hAnsi="Arial" w:cs="Arial"/>
              </w:rPr>
              <w:t>8.6.5</w:t>
            </w:r>
          </w:p>
          <w:p w:rsidR="00D75D4C" w:rsidRDefault="00D75D4C" w:rsidP="008B4778">
            <w:pPr>
              <w:jc w:val="both"/>
              <w:rPr>
                <w:rFonts w:ascii="Arial" w:hAnsi="Arial" w:cs="Arial"/>
              </w:rPr>
            </w:pPr>
          </w:p>
        </w:tc>
        <w:tc>
          <w:tcPr>
            <w:tcW w:w="6811" w:type="dxa"/>
            <w:tcBorders>
              <w:top w:val="nil"/>
              <w:left w:val="nil"/>
              <w:bottom w:val="nil"/>
              <w:right w:val="nil"/>
            </w:tcBorders>
          </w:tcPr>
          <w:p w:rsidR="00AC4636" w:rsidRDefault="00AC4636" w:rsidP="00D75D4C">
            <w:pPr>
              <w:jc w:val="both"/>
              <w:rPr>
                <w:rFonts w:ascii="Arial" w:hAnsi="Arial" w:cs="Arial"/>
              </w:rPr>
            </w:pPr>
            <w:r w:rsidRPr="00EB42FD">
              <w:rPr>
                <w:rFonts w:ascii="Arial" w:hAnsi="Arial" w:cs="Arial"/>
              </w:rPr>
              <w:t xml:space="preserve">Following the engagement process, the results of the engagement will be reviewed </w:t>
            </w:r>
            <w:r w:rsidR="00D75D4C">
              <w:rPr>
                <w:rFonts w:ascii="Arial" w:hAnsi="Arial" w:cs="Arial"/>
              </w:rPr>
              <w:t xml:space="preserve">by QIPP Delivery Group </w:t>
            </w:r>
            <w:r w:rsidRPr="00EB42FD">
              <w:rPr>
                <w:rFonts w:ascii="Arial" w:hAnsi="Arial" w:cs="Arial"/>
              </w:rPr>
              <w:t xml:space="preserve">and </w:t>
            </w:r>
            <w:r w:rsidR="007D0F60">
              <w:rPr>
                <w:rFonts w:ascii="Arial" w:hAnsi="Arial" w:cs="Arial"/>
              </w:rPr>
              <w:t xml:space="preserve">used to inform the full business case </w:t>
            </w:r>
            <w:r w:rsidRPr="00EB42FD">
              <w:rPr>
                <w:rFonts w:ascii="Arial" w:hAnsi="Arial" w:cs="Arial"/>
              </w:rPr>
              <w:t>for presentation to the</w:t>
            </w:r>
            <w:r>
              <w:rPr>
                <w:rFonts w:ascii="Arial" w:hAnsi="Arial" w:cs="Arial"/>
              </w:rPr>
              <w:t xml:space="preserve"> Governing Body</w:t>
            </w:r>
            <w:r w:rsidRPr="00EB42FD">
              <w:rPr>
                <w:rFonts w:ascii="Arial" w:hAnsi="Arial" w:cs="Arial"/>
              </w:rPr>
              <w:t>.</w:t>
            </w:r>
          </w:p>
          <w:p w:rsidR="00D75D4C" w:rsidRPr="006E6E0E" w:rsidRDefault="00D75D4C" w:rsidP="00D75D4C">
            <w:pPr>
              <w:jc w:val="both"/>
              <w:rPr>
                <w:rFonts w:ascii="Arial" w:hAnsi="Arial" w:cs="Arial"/>
              </w:rPr>
            </w:pPr>
          </w:p>
        </w:tc>
      </w:tr>
      <w:tr w:rsidR="004B0A37" w:rsidRPr="004231B6" w:rsidTr="009235F4">
        <w:tc>
          <w:tcPr>
            <w:tcW w:w="642" w:type="dxa"/>
            <w:tcBorders>
              <w:top w:val="nil"/>
              <w:left w:val="nil"/>
              <w:bottom w:val="nil"/>
              <w:right w:val="nil"/>
            </w:tcBorders>
          </w:tcPr>
          <w:p w:rsidR="004B0A37" w:rsidRPr="004231B6" w:rsidRDefault="004B0A37" w:rsidP="00EE70D4">
            <w:pPr>
              <w:jc w:val="both"/>
              <w:rPr>
                <w:rFonts w:ascii="Arial" w:hAnsi="Arial" w:cs="Arial"/>
              </w:rPr>
            </w:pPr>
          </w:p>
        </w:tc>
        <w:tc>
          <w:tcPr>
            <w:tcW w:w="805" w:type="dxa"/>
            <w:tcBorders>
              <w:top w:val="nil"/>
              <w:left w:val="nil"/>
              <w:bottom w:val="nil"/>
              <w:right w:val="nil"/>
            </w:tcBorders>
          </w:tcPr>
          <w:p w:rsidR="004B0A37" w:rsidRPr="004231B6" w:rsidRDefault="00B926A1" w:rsidP="00D75D4C">
            <w:pPr>
              <w:jc w:val="both"/>
              <w:rPr>
                <w:rFonts w:ascii="Arial" w:hAnsi="Arial" w:cs="Arial"/>
              </w:rPr>
            </w:pPr>
            <w:r>
              <w:rPr>
                <w:rFonts w:ascii="Arial" w:hAnsi="Arial" w:cs="Arial"/>
              </w:rPr>
              <w:t>8</w:t>
            </w:r>
            <w:r w:rsidR="004B0A37">
              <w:rPr>
                <w:rFonts w:ascii="Arial" w:hAnsi="Arial" w:cs="Arial"/>
              </w:rPr>
              <w:t>.</w:t>
            </w:r>
            <w:r w:rsidR="00D75D4C">
              <w:rPr>
                <w:rFonts w:ascii="Arial" w:hAnsi="Arial" w:cs="Arial"/>
              </w:rPr>
              <w:t>7</w:t>
            </w:r>
          </w:p>
        </w:tc>
        <w:tc>
          <w:tcPr>
            <w:tcW w:w="7795" w:type="dxa"/>
            <w:gridSpan w:val="2"/>
            <w:tcBorders>
              <w:top w:val="nil"/>
              <w:left w:val="nil"/>
              <w:bottom w:val="nil"/>
              <w:right w:val="nil"/>
            </w:tcBorders>
          </w:tcPr>
          <w:p w:rsidR="004B0A37" w:rsidRPr="008C0A37" w:rsidRDefault="004B0A37" w:rsidP="004B0A37">
            <w:pPr>
              <w:jc w:val="both"/>
              <w:rPr>
                <w:rFonts w:ascii="Arial" w:hAnsi="Arial" w:cs="Arial"/>
                <w:b/>
              </w:rPr>
            </w:pPr>
            <w:r w:rsidRPr="008C0A37">
              <w:rPr>
                <w:rFonts w:ascii="Arial" w:hAnsi="Arial" w:cs="Arial"/>
                <w:b/>
              </w:rPr>
              <w:t xml:space="preserve">QIPP </w:t>
            </w:r>
            <w:r w:rsidR="00214E3A">
              <w:rPr>
                <w:rFonts w:ascii="Arial" w:hAnsi="Arial" w:cs="Arial"/>
                <w:b/>
              </w:rPr>
              <w:t>D</w:t>
            </w:r>
            <w:r w:rsidRPr="008C0A37">
              <w:rPr>
                <w:rFonts w:ascii="Arial" w:hAnsi="Arial" w:cs="Arial"/>
                <w:b/>
              </w:rPr>
              <w:t>elivery Group Recommendation</w:t>
            </w:r>
          </w:p>
          <w:p w:rsidR="004B0A37" w:rsidRDefault="004B0A37" w:rsidP="004B0A37">
            <w:pPr>
              <w:jc w:val="both"/>
              <w:rPr>
                <w:rFonts w:ascii="Arial" w:hAnsi="Arial" w:cs="Arial"/>
              </w:rPr>
            </w:pPr>
            <w:r w:rsidRPr="004B0A37">
              <w:rPr>
                <w:rFonts w:ascii="Arial" w:hAnsi="Arial" w:cs="Arial"/>
              </w:rPr>
              <w:t>Making good decisions regarding health care priorities involves the exercise of fair and rational judgment.</w:t>
            </w:r>
            <w:r w:rsidR="008C0A37">
              <w:rPr>
                <w:rFonts w:ascii="Arial" w:hAnsi="Arial" w:cs="Arial"/>
              </w:rPr>
              <w:t xml:space="preserve"> </w:t>
            </w:r>
            <w:r w:rsidRPr="004B0A37">
              <w:rPr>
                <w:rFonts w:ascii="Arial" w:hAnsi="Arial" w:cs="Arial"/>
              </w:rPr>
              <w:t>Although there is no single objective measure on which such recommendations can be based, recommendations will be fully informed taking into account the needs o</w:t>
            </w:r>
            <w:r w:rsidR="008C0A37">
              <w:rPr>
                <w:rFonts w:ascii="Arial" w:hAnsi="Arial" w:cs="Arial"/>
              </w:rPr>
              <w:t>f individuals and the community.</w:t>
            </w:r>
            <w:r w:rsidRPr="004B0A37">
              <w:rPr>
                <w:rFonts w:ascii="Arial" w:hAnsi="Arial" w:cs="Arial"/>
              </w:rPr>
              <w:t xml:space="preserve"> The </w:t>
            </w:r>
            <w:r w:rsidR="008C0A37">
              <w:rPr>
                <w:rFonts w:ascii="Arial" w:hAnsi="Arial" w:cs="Arial"/>
              </w:rPr>
              <w:t xml:space="preserve">QIPP Delivery Group </w:t>
            </w:r>
            <w:r w:rsidRPr="004B0A37">
              <w:rPr>
                <w:rFonts w:ascii="Arial" w:hAnsi="Arial" w:cs="Arial"/>
              </w:rPr>
              <w:t>will adopt a robust approach to its decommissioning</w:t>
            </w:r>
            <w:r w:rsidR="00D75D4C">
              <w:rPr>
                <w:rFonts w:ascii="Arial" w:hAnsi="Arial" w:cs="Arial"/>
              </w:rPr>
              <w:t xml:space="preserve"> </w:t>
            </w:r>
            <w:r w:rsidRPr="004B0A37">
              <w:rPr>
                <w:rFonts w:ascii="Arial" w:hAnsi="Arial" w:cs="Arial"/>
              </w:rPr>
              <w:t>recommendations by ensuring decisions are lawful and consistent.</w:t>
            </w:r>
          </w:p>
          <w:p w:rsidR="00943720" w:rsidRPr="006E6E0E" w:rsidRDefault="00943720" w:rsidP="004B0A37">
            <w:pPr>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D75D4C">
            <w:pPr>
              <w:jc w:val="both"/>
              <w:rPr>
                <w:rFonts w:ascii="Arial" w:hAnsi="Arial" w:cs="Arial"/>
              </w:rPr>
            </w:pPr>
            <w:r>
              <w:rPr>
                <w:rFonts w:ascii="Arial" w:hAnsi="Arial" w:cs="Arial"/>
              </w:rPr>
              <w:t>8</w:t>
            </w:r>
            <w:r w:rsidR="008C0A37">
              <w:rPr>
                <w:rFonts w:ascii="Arial" w:hAnsi="Arial" w:cs="Arial"/>
              </w:rPr>
              <w:t>.</w:t>
            </w:r>
            <w:r w:rsidR="00D75D4C">
              <w:rPr>
                <w:rFonts w:ascii="Arial" w:hAnsi="Arial" w:cs="Arial"/>
              </w:rPr>
              <w:t>7</w:t>
            </w:r>
            <w:r w:rsidR="008C0A37">
              <w:rPr>
                <w:rFonts w:ascii="Arial" w:hAnsi="Arial" w:cs="Arial"/>
              </w:rPr>
              <w:t xml:space="preserve">.1 </w:t>
            </w:r>
          </w:p>
        </w:tc>
        <w:tc>
          <w:tcPr>
            <w:tcW w:w="6811" w:type="dxa"/>
            <w:tcBorders>
              <w:top w:val="nil"/>
              <w:left w:val="nil"/>
              <w:bottom w:val="nil"/>
              <w:right w:val="nil"/>
            </w:tcBorders>
          </w:tcPr>
          <w:p w:rsidR="008C0A37" w:rsidRPr="008C0A37" w:rsidRDefault="008C0A37" w:rsidP="008C0A37">
            <w:pPr>
              <w:jc w:val="both"/>
              <w:rPr>
                <w:rFonts w:ascii="Arial" w:hAnsi="Arial" w:cs="Arial"/>
              </w:rPr>
            </w:pPr>
            <w:r w:rsidRPr="008C0A37">
              <w:rPr>
                <w:rFonts w:ascii="Arial" w:hAnsi="Arial" w:cs="Arial"/>
              </w:rPr>
              <w:t>Th</w:t>
            </w:r>
            <w:r w:rsidR="002B3B0E">
              <w:rPr>
                <w:rFonts w:ascii="Arial" w:hAnsi="Arial" w:cs="Arial"/>
              </w:rPr>
              <w:t>e</w:t>
            </w:r>
            <w:r>
              <w:rPr>
                <w:rFonts w:ascii="Arial" w:hAnsi="Arial" w:cs="Arial"/>
              </w:rPr>
              <w:t xml:space="preserve"> QIPP Delivery group will review the detailed </w:t>
            </w:r>
            <w:r w:rsidR="00D75D4C">
              <w:rPr>
                <w:rFonts w:ascii="Arial" w:hAnsi="Arial" w:cs="Arial"/>
              </w:rPr>
              <w:t xml:space="preserve">business case </w:t>
            </w:r>
            <w:r>
              <w:rPr>
                <w:rFonts w:ascii="Arial" w:hAnsi="Arial" w:cs="Arial"/>
              </w:rPr>
              <w:t>to ensure that</w:t>
            </w:r>
            <w:r w:rsidRPr="008C0A37">
              <w:rPr>
                <w:rFonts w:ascii="Arial" w:hAnsi="Arial" w:cs="Arial"/>
              </w:rPr>
              <w:t>:</w:t>
            </w:r>
          </w:p>
          <w:p w:rsidR="008C0A37" w:rsidRDefault="008C0A37" w:rsidP="00EA08AA">
            <w:pPr>
              <w:pStyle w:val="ListParagraph"/>
              <w:numPr>
                <w:ilvl w:val="0"/>
                <w:numId w:val="14"/>
              </w:numPr>
              <w:jc w:val="both"/>
              <w:rPr>
                <w:rFonts w:ascii="Arial" w:hAnsi="Arial" w:cs="Arial"/>
              </w:rPr>
            </w:pPr>
            <w:r w:rsidRPr="008C0A37">
              <w:rPr>
                <w:rFonts w:ascii="Arial" w:hAnsi="Arial" w:cs="Arial"/>
              </w:rPr>
              <w:t>All important aspects of the issue have been considered</w:t>
            </w:r>
          </w:p>
          <w:p w:rsidR="008C0A37" w:rsidRDefault="008C0A37" w:rsidP="00EA08AA">
            <w:pPr>
              <w:pStyle w:val="ListParagraph"/>
              <w:numPr>
                <w:ilvl w:val="0"/>
                <w:numId w:val="14"/>
              </w:numPr>
              <w:jc w:val="both"/>
              <w:rPr>
                <w:rFonts w:ascii="Arial" w:hAnsi="Arial" w:cs="Arial"/>
              </w:rPr>
            </w:pPr>
            <w:r>
              <w:rPr>
                <w:rFonts w:ascii="Arial" w:hAnsi="Arial" w:cs="Arial"/>
              </w:rPr>
              <w:t>Engagement guidelines have been followed</w:t>
            </w:r>
          </w:p>
          <w:p w:rsidR="008C0A37" w:rsidRDefault="008C0A37" w:rsidP="00EA08AA">
            <w:pPr>
              <w:pStyle w:val="ListParagraph"/>
              <w:numPr>
                <w:ilvl w:val="0"/>
                <w:numId w:val="14"/>
              </w:numPr>
              <w:jc w:val="both"/>
              <w:rPr>
                <w:rFonts w:ascii="Arial" w:hAnsi="Arial" w:cs="Arial"/>
              </w:rPr>
            </w:pPr>
            <w:r w:rsidRPr="008C0A37">
              <w:rPr>
                <w:rFonts w:ascii="Arial" w:hAnsi="Arial" w:cs="Arial"/>
              </w:rPr>
              <w:t xml:space="preserve">The proposal promotes </w:t>
            </w:r>
            <w:r>
              <w:rPr>
                <w:rFonts w:ascii="Arial" w:hAnsi="Arial" w:cs="Arial"/>
              </w:rPr>
              <w:t>fairness and consistency</w:t>
            </w:r>
          </w:p>
          <w:p w:rsidR="008C0A37" w:rsidRDefault="008C0A37" w:rsidP="00EA08AA">
            <w:pPr>
              <w:pStyle w:val="ListParagraph"/>
              <w:numPr>
                <w:ilvl w:val="0"/>
                <w:numId w:val="14"/>
              </w:numPr>
              <w:jc w:val="both"/>
              <w:rPr>
                <w:rFonts w:ascii="Arial" w:hAnsi="Arial" w:cs="Arial"/>
              </w:rPr>
            </w:pPr>
            <w:r w:rsidRPr="008C0A37">
              <w:rPr>
                <w:rFonts w:ascii="Arial" w:hAnsi="Arial" w:cs="Arial"/>
              </w:rPr>
              <w:t>The risk of judicial review has been minimised through the implementation of robust decision-making processes that are based on evidence of clinical and cost effectiveness</w:t>
            </w:r>
          </w:p>
          <w:p w:rsidR="00D8452E" w:rsidRDefault="008C0A37" w:rsidP="00EA08AA">
            <w:pPr>
              <w:pStyle w:val="ListParagraph"/>
              <w:numPr>
                <w:ilvl w:val="0"/>
                <w:numId w:val="14"/>
              </w:numPr>
              <w:jc w:val="both"/>
              <w:rPr>
                <w:rFonts w:ascii="Arial" w:hAnsi="Arial" w:cs="Arial"/>
              </w:rPr>
            </w:pPr>
            <w:r>
              <w:rPr>
                <w:rFonts w:ascii="Arial" w:hAnsi="Arial" w:cs="Arial"/>
              </w:rPr>
              <w:t>The proposal is consistent with t</w:t>
            </w:r>
            <w:r w:rsidRPr="008C0A37">
              <w:rPr>
                <w:rFonts w:ascii="Arial" w:hAnsi="Arial" w:cs="Arial"/>
              </w:rPr>
              <w:t xml:space="preserve">he vision, values </w:t>
            </w:r>
            <w:r w:rsidR="00D8452E">
              <w:rPr>
                <w:rFonts w:ascii="Arial" w:hAnsi="Arial" w:cs="Arial"/>
              </w:rPr>
              <w:t>and goals of the CCG</w:t>
            </w:r>
          </w:p>
          <w:p w:rsidR="00621BDC" w:rsidRDefault="00D8452E" w:rsidP="00EA08AA">
            <w:pPr>
              <w:pStyle w:val="ListParagraph"/>
              <w:numPr>
                <w:ilvl w:val="0"/>
                <w:numId w:val="14"/>
              </w:numPr>
              <w:jc w:val="both"/>
              <w:rPr>
                <w:rFonts w:ascii="Arial" w:hAnsi="Arial" w:cs="Arial"/>
              </w:rPr>
            </w:pPr>
            <w:r>
              <w:rPr>
                <w:rFonts w:ascii="Arial" w:hAnsi="Arial" w:cs="Arial"/>
              </w:rPr>
              <w:t>A</w:t>
            </w:r>
            <w:r w:rsidR="008C0A37" w:rsidRPr="008C0A37">
              <w:rPr>
                <w:rFonts w:ascii="Arial" w:hAnsi="Arial" w:cs="Arial"/>
              </w:rPr>
              <w:t xml:space="preserve">ny potential or actual conflicts of interest </w:t>
            </w:r>
            <w:r>
              <w:rPr>
                <w:rFonts w:ascii="Arial" w:hAnsi="Arial" w:cs="Arial"/>
              </w:rPr>
              <w:t xml:space="preserve">have been </w:t>
            </w:r>
            <w:r w:rsidR="008C0A37" w:rsidRPr="008C0A37">
              <w:rPr>
                <w:rFonts w:ascii="Arial" w:hAnsi="Arial" w:cs="Arial"/>
              </w:rPr>
              <w:t>managed effectively in line with established policies</w:t>
            </w:r>
            <w:r>
              <w:rPr>
                <w:rFonts w:ascii="Arial" w:hAnsi="Arial" w:cs="Arial"/>
              </w:rPr>
              <w:t>.</w:t>
            </w:r>
          </w:p>
          <w:p w:rsidR="00D8452E" w:rsidRPr="006E6E0E" w:rsidRDefault="00D8452E" w:rsidP="00D8452E">
            <w:pPr>
              <w:pStyle w:val="ListParagraph"/>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D75D4C">
            <w:pPr>
              <w:jc w:val="both"/>
              <w:rPr>
                <w:rFonts w:ascii="Arial" w:hAnsi="Arial" w:cs="Arial"/>
              </w:rPr>
            </w:pPr>
            <w:r>
              <w:rPr>
                <w:rFonts w:ascii="Arial" w:hAnsi="Arial" w:cs="Arial"/>
              </w:rPr>
              <w:t>8</w:t>
            </w:r>
            <w:r w:rsidR="00D8452E">
              <w:rPr>
                <w:rFonts w:ascii="Arial" w:hAnsi="Arial" w:cs="Arial"/>
              </w:rPr>
              <w:t>.</w:t>
            </w:r>
            <w:r w:rsidR="00D75D4C">
              <w:rPr>
                <w:rFonts w:ascii="Arial" w:hAnsi="Arial" w:cs="Arial"/>
              </w:rPr>
              <w:t>7</w:t>
            </w:r>
            <w:r w:rsidR="00D8452E">
              <w:rPr>
                <w:rFonts w:ascii="Arial" w:hAnsi="Arial" w:cs="Arial"/>
              </w:rPr>
              <w:t>.2</w:t>
            </w:r>
          </w:p>
        </w:tc>
        <w:tc>
          <w:tcPr>
            <w:tcW w:w="6811" w:type="dxa"/>
            <w:tcBorders>
              <w:top w:val="nil"/>
              <w:left w:val="nil"/>
              <w:bottom w:val="nil"/>
              <w:right w:val="nil"/>
            </w:tcBorders>
          </w:tcPr>
          <w:p w:rsidR="00621BDC" w:rsidRDefault="008C0A37" w:rsidP="00D8452E">
            <w:pPr>
              <w:jc w:val="both"/>
              <w:rPr>
                <w:rFonts w:ascii="Arial" w:hAnsi="Arial" w:cs="Arial"/>
              </w:rPr>
            </w:pPr>
            <w:r w:rsidRPr="008C0A37">
              <w:rPr>
                <w:rFonts w:ascii="Arial" w:hAnsi="Arial" w:cs="Arial"/>
              </w:rPr>
              <w:t>The CCG is committed to engaging patients, carers, the public and wider stakeholders at all stage</w:t>
            </w:r>
            <w:r w:rsidR="00CA3CB6">
              <w:rPr>
                <w:rFonts w:ascii="Arial" w:hAnsi="Arial" w:cs="Arial"/>
              </w:rPr>
              <w:t>s</w:t>
            </w:r>
            <w:r w:rsidRPr="008C0A37">
              <w:rPr>
                <w:rFonts w:ascii="Arial" w:hAnsi="Arial" w:cs="Arial"/>
              </w:rPr>
              <w:t xml:space="preserve"> of commissioning</w:t>
            </w:r>
            <w:r w:rsidR="00D8452E">
              <w:rPr>
                <w:rFonts w:ascii="Arial" w:hAnsi="Arial" w:cs="Arial"/>
              </w:rPr>
              <w:t>.</w:t>
            </w:r>
            <w:r w:rsidRPr="008C0A37">
              <w:rPr>
                <w:rFonts w:ascii="Arial" w:hAnsi="Arial" w:cs="Arial"/>
              </w:rPr>
              <w:t xml:space="preserve"> </w:t>
            </w:r>
            <w:r w:rsidR="00D8452E">
              <w:rPr>
                <w:rFonts w:ascii="Arial" w:hAnsi="Arial" w:cs="Arial"/>
              </w:rPr>
              <w:t>T</w:t>
            </w:r>
            <w:r w:rsidRPr="008C0A37">
              <w:rPr>
                <w:rFonts w:ascii="Arial" w:hAnsi="Arial" w:cs="Arial"/>
              </w:rPr>
              <w:t>he CCG will communicate clearly</w:t>
            </w:r>
            <w:r w:rsidR="00D8452E">
              <w:rPr>
                <w:rFonts w:ascii="Arial" w:hAnsi="Arial" w:cs="Arial"/>
              </w:rPr>
              <w:t xml:space="preserve"> and </w:t>
            </w:r>
            <w:r w:rsidRPr="008C0A37">
              <w:rPr>
                <w:rFonts w:ascii="Arial" w:hAnsi="Arial" w:cs="Arial"/>
              </w:rPr>
              <w:t>fully with all stakeholders before, during and following any decision to disinvest in or decommission services.</w:t>
            </w:r>
            <w:r w:rsidR="000723A5">
              <w:rPr>
                <w:rFonts w:ascii="Arial" w:hAnsi="Arial" w:cs="Arial"/>
              </w:rPr>
              <w:t xml:space="preserve"> </w:t>
            </w:r>
            <w:r w:rsidR="007D0F60">
              <w:rPr>
                <w:rFonts w:ascii="Arial" w:hAnsi="Arial" w:cs="Arial"/>
              </w:rPr>
              <w:t xml:space="preserve">As a result the full business case will not be taken forward for decision until all </w:t>
            </w:r>
            <w:r w:rsidR="000723A5" w:rsidRPr="000723A5">
              <w:rPr>
                <w:rFonts w:ascii="Arial" w:hAnsi="Arial" w:cs="Arial"/>
              </w:rPr>
              <w:t xml:space="preserve">relevant engagement </w:t>
            </w:r>
            <w:r w:rsidR="000723A5">
              <w:rPr>
                <w:rFonts w:ascii="Arial" w:hAnsi="Arial" w:cs="Arial"/>
              </w:rPr>
              <w:t>has been completed</w:t>
            </w:r>
            <w:r w:rsidR="000723A5" w:rsidRPr="000723A5">
              <w:rPr>
                <w:rFonts w:ascii="Arial" w:hAnsi="Arial" w:cs="Arial"/>
              </w:rPr>
              <w:t>.</w:t>
            </w:r>
          </w:p>
          <w:p w:rsidR="00D8452E" w:rsidRPr="006E6E0E" w:rsidRDefault="00D8452E" w:rsidP="00D8452E">
            <w:pPr>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D75D4C">
            <w:pPr>
              <w:jc w:val="both"/>
              <w:rPr>
                <w:rFonts w:ascii="Arial" w:hAnsi="Arial" w:cs="Arial"/>
              </w:rPr>
            </w:pPr>
            <w:r>
              <w:rPr>
                <w:rFonts w:ascii="Arial" w:hAnsi="Arial" w:cs="Arial"/>
              </w:rPr>
              <w:t>8</w:t>
            </w:r>
            <w:r w:rsidR="00D8452E">
              <w:rPr>
                <w:rFonts w:ascii="Arial" w:hAnsi="Arial" w:cs="Arial"/>
              </w:rPr>
              <w:t>.</w:t>
            </w:r>
            <w:r w:rsidR="00D75D4C">
              <w:rPr>
                <w:rFonts w:ascii="Arial" w:hAnsi="Arial" w:cs="Arial"/>
              </w:rPr>
              <w:t>7</w:t>
            </w:r>
            <w:r w:rsidR="00D8452E">
              <w:rPr>
                <w:rFonts w:ascii="Arial" w:hAnsi="Arial" w:cs="Arial"/>
              </w:rPr>
              <w:t xml:space="preserve">.3 </w:t>
            </w:r>
          </w:p>
        </w:tc>
        <w:tc>
          <w:tcPr>
            <w:tcW w:w="6811" w:type="dxa"/>
            <w:tcBorders>
              <w:top w:val="nil"/>
              <w:left w:val="nil"/>
              <w:bottom w:val="nil"/>
              <w:right w:val="nil"/>
            </w:tcBorders>
          </w:tcPr>
          <w:p w:rsidR="008C0A37" w:rsidRPr="008C0A37" w:rsidRDefault="00D8452E" w:rsidP="008C0A37">
            <w:pPr>
              <w:jc w:val="both"/>
              <w:rPr>
                <w:rFonts w:ascii="Arial" w:hAnsi="Arial" w:cs="Arial"/>
              </w:rPr>
            </w:pPr>
            <w:r>
              <w:rPr>
                <w:rFonts w:ascii="Arial" w:hAnsi="Arial" w:cs="Arial"/>
              </w:rPr>
              <w:t xml:space="preserve">On the basis of the </w:t>
            </w:r>
            <w:r w:rsidR="00D75D4C">
              <w:rPr>
                <w:rFonts w:ascii="Arial" w:hAnsi="Arial" w:cs="Arial"/>
              </w:rPr>
              <w:t xml:space="preserve">detailed business case </w:t>
            </w:r>
            <w:r>
              <w:rPr>
                <w:rFonts w:ascii="Arial" w:hAnsi="Arial" w:cs="Arial"/>
              </w:rPr>
              <w:t xml:space="preserve">the QIPP </w:t>
            </w:r>
            <w:r w:rsidR="00E50273">
              <w:rPr>
                <w:rFonts w:ascii="Arial" w:hAnsi="Arial" w:cs="Arial"/>
              </w:rPr>
              <w:t>D</w:t>
            </w:r>
            <w:r>
              <w:rPr>
                <w:rFonts w:ascii="Arial" w:hAnsi="Arial" w:cs="Arial"/>
              </w:rPr>
              <w:t>elivery Group will decide whether t</w:t>
            </w:r>
            <w:r w:rsidR="00D75D4C">
              <w:rPr>
                <w:rFonts w:ascii="Arial" w:hAnsi="Arial" w:cs="Arial"/>
              </w:rPr>
              <w:t xml:space="preserve">he proposal and recommendation </w:t>
            </w:r>
            <w:r w:rsidR="002B3B0E">
              <w:rPr>
                <w:rFonts w:ascii="Arial" w:hAnsi="Arial" w:cs="Arial"/>
              </w:rPr>
              <w:t xml:space="preserve">to </w:t>
            </w:r>
            <w:r>
              <w:rPr>
                <w:rFonts w:ascii="Arial" w:hAnsi="Arial" w:cs="Arial"/>
              </w:rPr>
              <w:t xml:space="preserve">decommission </w:t>
            </w:r>
            <w:r w:rsidR="00D75D4C">
              <w:rPr>
                <w:rFonts w:ascii="Arial" w:hAnsi="Arial" w:cs="Arial"/>
              </w:rPr>
              <w:t xml:space="preserve">a </w:t>
            </w:r>
            <w:r>
              <w:rPr>
                <w:rFonts w:ascii="Arial" w:hAnsi="Arial" w:cs="Arial"/>
              </w:rPr>
              <w:t xml:space="preserve">service </w:t>
            </w:r>
            <w:r w:rsidR="002E4C4F">
              <w:rPr>
                <w:rFonts w:ascii="Arial" w:hAnsi="Arial" w:cs="Arial"/>
              </w:rPr>
              <w:t xml:space="preserve">should proceed to </w:t>
            </w:r>
            <w:r>
              <w:rPr>
                <w:rFonts w:ascii="Arial" w:hAnsi="Arial" w:cs="Arial"/>
              </w:rPr>
              <w:t>the Governing Body</w:t>
            </w:r>
            <w:r w:rsidR="002E4C4F">
              <w:rPr>
                <w:rFonts w:ascii="Arial" w:hAnsi="Arial" w:cs="Arial"/>
              </w:rPr>
              <w:t xml:space="preserve"> for approval</w:t>
            </w:r>
            <w:r w:rsidR="008C0A37" w:rsidRPr="008C0A37">
              <w:rPr>
                <w:rFonts w:ascii="Arial" w:hAnsi="Arial" w:cs="Arial"/>
              </w:rPr>
              <w:t>.</w:t>
            </w:r>
          </w:p>
          <w:p w:rsidR="00621BDC" w:rsidRPr="006E6E0E" w:rsidRDefault="00621BDC" w:rsidP="008C0A37">
            <w:pPr>
              <w:jc w:val="both"/>
              <w:rPr>
                <w:rFonts w:ascii="Arial" w:hAnsi="Arial" w:cs="Arial"/>
              </w:rPr>
            </w:pPr>
          </w:p>
        </w:tc>
      </w:tr>
      <w:tr w:rsidR="00D8452E" w:rsidRPr="004231B6" w:rsidTr="009235F4">
        <w:tc>
          <w:tcPr>
            <w:tcW w:w="642" w:type="dxa"/>
            <w:tcBorders>
              <w:top w:val="nil"/>
              <w:left w:val="nil"/>
              <w:bottom w:val="nil"/>
              <w:right w:val="nil"/>
            </w:tcBorders>
          </w:tcPr>
          <w:p w:rsidR="00D8452E" w:rsidRPr="004231B6" w:rsidRDefault="00D8452E" w:rsidP="00EE70D4">
            <w:pPr>
              <w:jc w:val="both"/>
              <w:rPr>
                <w:rFonts w:ascii="Arial" w:hAnsi="Arial" w:cs="Arial"/>
              </w:rPr>
            </w:pPr>
          </w:p>
        </w:tc>
        <w:tc>
          <w:tcPr>
            <w:tcW w:w="805" w:type="dxa"/>
            <w:tcBorders>
              <w:top w:val="nil"/>
              <w:left w:val="nil"/>
              <w:bottom w:val="nil"/>
              <w:right w:val="nil"/>
            </w:tcBorders>
          </w:tcPr>
          <w:p w:rsidR="00D8452E" w:rsidRPr="004231B6" w:rsidRDefault="00B926A1" w:rsidP="00F679B5">
            <w:pPr>
              <w:jc w:val="both"/>
              <w:rPr>
                <w:rFonts w:ascii="Arial" w:hAnsi="Arial" w:cs="Arial"/>
              </w:rPr>
            </w:pPr>
            <w:r>
              <w:rPr>
                <w:rFonts w:ascii="Arial" w:hAnsi="Arial" w:cs="Arial"/>
              </w:rPr>
              <w:t>8</w:t>
            </w:r>
            <w:r w:rsidR="00D8452E">
              <w:rPr>
                <w:rFonts w:ascii="Arial" w:hAnsi="Arial" w:cs="Arial"/>
              </w:rPr>
              <w:t>.</w:t>
            </w:r>
            <w:r w:rsidR="00F679B5">
              <w:rPr>
                <w:rFonts w:ascii="Arial" w:hAnsi="Arial" w:cs="Arial"/>
              </w:rPr>
              <w:t>8</w:t>
            </w:r>
          </w:p>
        </w:tc>
        <w:tc>
          <w:tcPr>
            <w:tcW w:w="7795" w:type="dxa"/>
            <w:gridSpan w:val="2"/>
            <w:tcBorders>
              <w:top w:val="nil"/>
              <w:left w:val="nil"/>
              <w:bottom w:val="nil"/>
              <w:right w:val="nil"/>
            </w:tcBorders>
          </w:tcPr>
          <w:p w:rsidR="00D8452E" w:rsidRPr="00D8452E" w:rsidRDefault="00D8452E" w:rsidP="00D8452E">
            <w:pPr>
              <w:jc w:val="both"/>
              <w:rPr>
                <w:rFonts w:ascii="Arial" w:hAnsi="Arial" w:cs="Arial"/>
                <w:b/>
              </w:rPr>
            </w:pPr>
            <w:r w:rsidRPr="00D8452E">
              <w:rPr>
                <w:rFonts w:ascii="Arial" w:hAnsi="Arial" w:cs="Arial"/>
                <w:b/>
              </w:rPr>
              <w:t>Governing Body Decision</w:t>
            </w:r>
            <w:r w:rsidR="00D75D4C">
              <w:rPr>
                <w:rFonts w:ascii="Arial" w:hAnsi="Arial" w:cs="Arial"/>
                <w:b/>
              </w:rPr>
              <w:t xml:space="preserve"> </w:t>
            </w:r>
          </w:p>
          <w:p w:rsidR="00D8452E" w:rsidRPr="00D8452E" w:rsidRDefault="00D8452E" w:rsidP="00D8452E">
            <w:pPr>
              <w:jc w:val="both"/>
              <w:rPr>
                <w:rFonts w:ascii="Arial" w:hAnsi="Arial" w:cs="Arial"/>
              </w:rPr>
            </w:pPr>
            <w:r w:rsidRPr="00D8452E">
              <w:rPr>
                <w:rFonts w:ascii="Arial" w:hAnsi="Arial" w:cs="Arial"/>
              </w:rPr>
              <w:t xml:space="preserve">The </w:t>
            </w:r>
            <w:r>
              <w:rPr>
                <w:rFonts w:ascii="Arial" w:hAnsi="Arial" w:cs="Arial"/>
              </w:rPr>
              <w:t xml:space="preserve">Governing Body </w:t>
            </w:r>
            <w:r w:rsidRPr="00D8452E">
              <w:rPr>
                <w:rFonts w:ascii="Arial" w:hAnsi="Arial" w:cs="Arial"/>
              </w:rPr>
              <w:t xml:space="preserve">will review the </w:t>
            </w:r>
            <w:r w:rsidR="00D75D4C">
              <w:rPr>
                <w:rFonts w:ascii="Arial" w:hAnsi="Arial" w:cs="Arial"/>
              </w:rPr>
              <w:t xml:space="preserve">business case </w:t>
            </w:r>
            <w:r w:rsidRPr="00D8452E">
              <w:rPr>
                <w:rFonts w:ascii="Arial" w:hAnsi="Arial" w:cs="Arial"/>
              </w:rPr>
              <w:t xml:space="preserve">presented by the </w:t>
            </w:r>
            <w:r>
              <w:rPr>
                <w:rFonts w:ascii="Arial" w:hAnsi="Arial" w:cs="Arial"/>
              </w:rPr>
              <w:t>QIPP Delivery Group and its supporting</w:t>
            </w:r>
            <w:r w:rsidR="00D75D4C">
              <w:rPr>
                <w:rFonts w:ascii="Arial" w:hAnsi="Arial" w:cs="Arial"/>
              </w:rPr>
              <w:t xml:space="preserve"> recommendations</w:t>
            </w:r>
            <w:r w:rsidRPr="00D8452E">
              <w:rPr>
                <w:rFonts w:ascii="Arial" w:hAnsi="Arial" w:cs="Arial"/>
              </w:rPr>
              <w:t>.</w:t>
            </w:r>
            <w:r>
              <w:rPr>
                <w:rFonts w:ascii="Arial" w:hAnsi="Arial" w:cs="Arial"/>
              </w:rPr>
              <w:t xml:space="preserve"> </w:t>
            </w:r>
            <w:r w:rsidR="00E50273">
              <w:rPr>
                <w:rFonts w:ascii="Arial" w:hAnsi="Arial" w:cs="Arial"/>
              </w:rPr>
              <w:t>Governing Body may decide to:</w:t>
            </w:r>
          </w:p>
          <w:p w:rsidR="00E50273" w:rsidRDefault="00D75D4C" w:rsidP="00EA08AA">
            <w:pPr>
              <w:pStyle w:val="ListParagraph"/>
              <w:numPr>
                <w:ilvl w:val="0"/>
                <w:numId w:val="15"/>
              </w:numPr>
              <w:jc w:val="both"/>
              <w:rPr>
                <w:rFonts w:ascii="Arial" w:hAnsi="Arial" w:cs="Arial"/>
              </w:rPr>
            </w:pPr>
            <w:r>
              <w:rPr>
                <w:rFonts w:ascii="Arial" w:hAnsi="Arial" w:cs="Arial"/>
              </w:rPr>
              <w:t>M</w:t>
            </w:r>
            <w:r w:rsidR="00D8452E" w:rsidRPr="00E50273">
              <w:rPr>
                <w:rFonts w:ascii="Arial" w:hAnsi="Arial" w:cs="Arial"/>
              </w:rPr>
              <w:t>onitor the service</w:t>
            </w:r>
          </w:p>
          <w:p w:rsidR="00E50273" w:rsidRDefault="00D8452E" w:rsidP="00EA08AA">
            <w:pPr>
              <w:pStyle w:val="ListParagraph"/>
              <w:numPr>
                <w:ilvl w:val="0"/>
                <w:numId w:val="15"/>
              </w:numPr>
              <w:jc w:val="both"/>
              <w:rPr>
                <w:rFonts w:ascii="Arial" w:hAnsi="Arial" w:cs="Arial"/>
              </w:rPr>
            </w:pPr>
            <w:r w:rsidRPr="00E50273">
              <w:rPr>
                <w:rFonts w:ascii="Arial" w:hAnsi="Arial" w:cs="Arial"/>
              </w:rPr>
              <w:t>Purs</w:t>
            </w:r>
            <w:r w:rsidR="00E50273">
              <w:rPr>
                <w:rFonts w:ascii="Arial" w:hAnsi="Arial" w:cs="Arial"/>
              </w:rPr>
              <w:t>u</w:t>
            </w:r>
            <w:r w:rsidRPr="00E50273">
              <w:rPr>
                <w:rFonts w:ascii="Arial" w:hAnsi="Arial" w:cs="Arial"/>
              </w:rPr>
              <w:t xml:space="preserve">e improved </w:t>
            </w:r>
            <w:r w:rsidR="00E50273">
              <w:rPr>
                <w:rFonts w:ascii="Arial" w:hAnsi="Arial" w:cs="Arial"/>
              </w:rPr>
              <w:t>o</w:t>
            </w:r>
            <w:r w:rsidRPr="00E50273">
              <w:rPr>
                <w:rFonts w:ascii="Arial" w:hAnsi="Arial" w:cs="Arial"/>
              </w:rPr>
              <w:t>utcomes</w:t>
            </w:r>
          </w:p>
          <w:p w:rsidR="00D8452E" w:rsidRPr="00E50273" w:rsidRDefault="00D8452E" w:rsidP="00EA08AA">
            <w:pPr>
              <w:pStyle w:val="ListParagraph"/>
              <w:numPr>
                <w:ilvl w:val="0"/>
                <w:numId w:val="15"/>
              </w:numPr>
              <w:jc w:val="both"/>
              <w:rPr>
                <w:rFonts w:ascii="Arial" w:hAnsi="Arial" w:cs="Arial"/>
              </w:rPr>
            </w:pPr>
            <w:r w:rsidRPr="00E50273">
              <w:rPr>
                <w:rFonts w:ascii="Arial" w:hAnsi="Arial" w:cs="Arial"/>
              </w:rPr>
              <w:lastRenderedPageBreak/>
              <w:t>Decommission the service (subject to the engagement process)</w:t>
            </w:r>
            <w:r w:rsidR="00E50273">
              <w:rPr>
                <w:rFonts w:ascii="Arial" w:hAnsi="Arial" w:cs="Arial"/>
              </w:rPr>
              <w:t>.</w:t>
            </w:r>
          </w:p>
          <w:p w:rsidR="007D0F60" w:rsidRPr="006E6E0E" w:rsidRDefault="007D0F60" w:rsidP="00D8452E">
            <w:pPr>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F679B5">
            <w:pPr>
              <w:jc w:val="both"/>
              <w:rPr>
                <w:rFonts w:ascii="Arial" w:hAnsi="Arial" w:cs="Arial"/>
              </w:rPr>
            </w:pPr>
            <w:r>
              <w:rPr>
                <w:rFonts w:ascii="Arial" w:hAnsi="Arial" w:cs="Arial"/>
              </w:rPr>
              <w:t>8</w:t>
            </w:r>
            <w:r w:rsidR="00E50273">
              <w:rPr>
                <w:rFonts w:ascii="Arial" w:hAnsi="Arial" w:cs="Arial"/>
              </w:rPr>
              <w:t>.</w:t>
            </w:r>
            <w:r w:rsidR="00F679B5">
              <w:rPr>
                <w:rFonts w:ascii="Arial" w:hAnsi="Arial" w:cs="Arial"/>
              </w:rPr>
              <w:t>8</w:t>
            </w:r>
            <w:r w:rsidR="00E50273">
              <w:rPr>
                <w:rFonts w:ascii="Arial" w:hAnsi="Arial" w:cs="Arial"/>
              </w:rPr>
              <w:t>.1</w:t>
            </w:r>
          </w:p>
        </w:tc>
        <w:tc>
          <w:tcPr>
            <w:tcW w:w="6811" w:type="dxa"/>
            <w:tcBorders>
              <w:top w:val="nil"/>
              <w:left w:val="nil"/>
              <w:bottom w:val="nil"/>
              <w:right w:val="nil"/>
            </w:tcBorders>
          </w:tcPr>
          <w:p w:rsidR="00E50273" w:rsidRPr="00E50273" w:rsidRDefault="00E50273" w:rsidP="00E50273">
            <w:pPr>
              <w:jc w:val="both"/>
              <w:rPr>
                <w:rFonts w:ascii="Arial" w:hAnsi="Arial" w:cs="Arial"/>
                <w:b/>
              </w:rPr>
            </w:pPr>
            <w:r w:rsidRPr="00E50273">
              <w:rPr>
                <w:rFonts w:ascii="Arial" w:hAnsi="Arial" w:cs="Arial"/>
                <w:b/>
              </w:rPr>
              <w:t>Monitor the service</w:t>
            </w:r>
          </w:p>
          <w:p w:rsidR="00621BDC" w:rsidRDefault="00E50273" w:rsidP="00E50273">
            <w:pPr>
              <w:jc w:val="both"/>
              <w:rPr>
                <w:rFonts w:ascii="Arial" w:hAnsi="Arial" w:cs="Arial"/>
              </w:rPr>
            </w:pPr>
            <w:r w:rsidRPr="00E50273">
              <w:rPr>
                <w:rFonts w:ascii="Arial" w:hAnsi="Arial" w:cs="Arial"/>
              </w:rPr>
              <w:t xml:space="preserve">If the </w:t>
            </w:r>
            <w:r>
              <w:rPr>
                <w:rFonts w:ascii="Arial" w:hAnsi="Arial" w:cs="Arial"/>
              </w:rPr>
              <w:t xml:space="preserve">decision </w:t>
            </w:r>
            <w:r w:rsidRPr="00E50273">
              <w:rPr>
                <w:rFonts w:ascii="Arial" w:hAnsi="Arial" w:cs="Arial"/>
              </w:rPr>
              <w:t>is to continue to monitor the service, the service will be notified and a statement of performance and improvement will be developed with the service. The service will have a set timescale to improve the service and achieve key KPIs.</w:t>
            </w:r>
          </w:p>
          <w:p w:rsidR="00E50273" w:rsidRPr="006E6E0E" w:rsidRDefault="00E50273" w:rsidP="00E50273">
            <w:pPr>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F679B5">
            <w:pPr>
              <w:jc w:val="both"/>
              <w:rPr>
                <w:rFonts w:ascii="Arial" w:hAnsi="Arial" w:cs="Arial"/>
              </w:rPr>
            </w:pPr>
            <w:r>
              <w:rPr>
                <w:rFonts w:ascii="Arial" w:hAnsi="Arial" w:cs="Arial"/>
              </w:rPr>
              <w:t>8</w:t>
            </w:r>
            <w:r w:rsidR="00E50273">
              <w:rPr>
                <w:rFonts w:ascii="Arial" w:hAnsi="Arial" w:cs="Arial"/>
              </w:rPr>
              <w:t>.</w:t>
            </w:r>
            <w:r w:rsidR="00F679B5">
              <w:rPr>
                <w:rFonts w:ascii="Arial" w:hAnsi="Arial" w:cs="Arial"/>
              </w:rPr>
              <w:t>8</w:t>
            </w:r>
            <w:r w:rsidR="00E50273">
              <w:rPr>
                <w:rFonts w:ascii="Arial" w:hAnsi="Arial" w:cs="Arial"/>
              </w:rPr>
              <w:t>.2</w:t>
            </w:r>
          </w:p>
        </w:tc>
        <w:tc>
          <w:tcPr>
            <w:tcW w:w="6811" w:type="dxa"/>
            <w:tcBorders>
              <w:top w:val="nil"/>
              <w:left w:val="nil"/>
              <w:bottom w:val="nil"/>
              <w:right w:val="nil"/>
            </w:tcBorders>
          </w:tcPr>
          <w:p w:rsidR="00E50273" w:rsidRPr="00E50273" w:rsidRDefault="00E50273" w:rsidP="00E50273">
            <w:pPr>
              <w:jc w:val="both"/>
              <w:rPr>
                <w:rFonts w:ascii="Arial" w:hAnsi="Arial" w:cs="Arial"/>
                <w:b/>
              </w:rPr>
            </w:pPr>
            <w:r w:rsidRPr="00E50273">
              <w:rPr>
                <w:rFonts w:ascii="Arial" w:hAnsi="Arial" w:cs="Arial"/>
                <w:b/>
              </w:rPr>
              <w:t>Pursue Improved outcomes</w:t>
            </w:r>
          </w:p>
          <w:p w:rsidR="00621BDC" w:rsidRDefault="00E50273" w:rsidP="00E50273">
            <w:pPr>
              <w:jc w:val="both"/>
              <w:rPr>
                <w:rFonts w:ascii="Arial" w:hAnsi="Arial" w:cs="Arial"/>
              </w:rPr>
            </w:pPr>
            <w:r w:rsidRPr="00E50273">
              <w:rPr>
                <w:rFonts w:ascii="Arial" w:hAnsi="Arial" w:cs="Arial"/>
              </w:rPr>
              <w:t>The service will be informed by the CCG that improved outcomes are to be completed within a set time</w:t>
            </w:r>
            <w:r>
              <w:rPr>
                <w:rFonts w:ascii="Arial" w:hAnsi="Arial" w:cs="Arial"/>
              </w:rPr>
              <w:t>. F</w:t>
            </w:r>
            <w:r w:rsidRPr="00E50273">
              <w:rPr>
                <w:rFonts w:ascii="Arial" w:hAnsi="Arial" w:cs="Arial"/>
              </w:rPr>
              <w:t>ailure to achieve the required outcomes within the timescale will result in the CCG recommending that the service is</w:t>
            </w:r>
            <w:r w:rsidR="00F679B5">
              <w:rPr>
                <w:rFonts w:ascii="Arial" w:hAnsi="Arial" w:cs="Arial"/>
              </w:rPr>
              <w:t xml:space="preserve"> decommissioned</w:t>
            </w:r>
            <w:r w:rsidRPr="00E50273">
              <w:rPr>
                <w:rFonts w:ascii="Arial" w:hAnsi="Arial" w:cs="Arial"/>
              </w:rPr>
              <w:t>.</w:t>
            </w:r>
            <w:r>
              <w:rPr>
                <w:rFonts w:ascii="Arial" w:hAnsi="Arial" w:cs="Arial"/>
              </w:rPr>
              <w:t xml:space="preserve"> </w:t>
            </w:r>
            <w:r w:rsidRPr="00E50273">
              <w:rPr>
                <w:rFonts w:ascii="Arial" w:hAnsi="Arial" w:cs="Arial"/>
              </w:rPr>
              <w:t>The service will receive an action plan of improvement and will</w:t>
            </w:r>
            <w:r w:rsidR="00F679B5">
              <w:rPr>
                <w:rFonts w:ascii="Arial" w:hAnsi="Arial" w:cs="Arial"/>
              </w:rPr>
              <w:t xml:space="preserve"> provide updates to the CCG at </w:t>
            </w:r>
            <w:r w:rsidRPr="00E50273">
              <w:rPr>
                <w:rFonts w:ascii="Arial" w:hAnsi="Arial" w:cs="Arial"/>
              </w:rPr>
              <w:t xml:space="preserve">key points with the timescale. A full report will be presented to the </w:t>
            </w:r>
            <w:r>
              <w:rPr>
                <w:rFonts w:ascii="Arial" w:hAnsi="Arial" w:cs="Arial"/>
              </w:rPr>
              <w:t xml:space="preserve">Governing Body </w:t>
            </w:r>
            <w:r w:rsidRPr="00E50273">
              <w:rPr>
                <w:rFonts w:ascii="Arial" w:hAnsi="Arial" w:cs="Arial"/>
              </w:rPr>
              <w:t>at the end of the agreed timescale.</w:t>
            </w:r>
          </w:p>
          <w:p w:rsidR="00E50273" w:rsidRPr="006E6E0E" w:rsidRDefault="00E50273" w:rsidP="00E50273">
            <w:pPr>
              <w:jc w:val="both"/>
              <w:rPr>
                <w:rFonts w:ascii="Arial" w:hAnsi="Arial" w:cs="Arial"/>
              </w:rPr>
            </w:pPr>
          </w:p>
        </w:tc>
      </w:tr>
      <w:tr w:rsidR="00621BDC" w:rsidRPr="004231B6" w:rsidTr="00EE70D4">
        <w:tc>
          <w:tcPr>
            <w:tcW w:w="642" w:type="dxa"/>
            <w:tcBorders>
              <w:top w:val="nil"/>
              <w:left w:val="nil"/>
              <w:bottom w:val="nil"/>
              <w:right w:val="nil"/>
            </w:tcBorders>
          </w:tcPr>
          <w:p w:rsidR="00621BDC" w:rsidRPr="004231B6" w:rsidRDefault="00621BDC" w:rsidP="00EE70D4">
            <w:pPr>
              <w:jc w:val="both"/>
              <w:rPr>
                <w:rFonts w:ascii="Arial" w:hAnsi="Arial" w:cs="Arial"/>
              </w:rPr>
            </w:pPr>
          </w:p>
        </w:tc>
        <w:tc>
          <w:tcPr>
            <w:tcW w:w="805" w:type="dxa"/>
            <w:tcBorders>
              <w:top w:val="nil"/>
              <w:left w:val="nil"/>
              <w:bottom w:val="nil"/>
              <w:right w:val="nil"/>
            </w:tcBorders>
          </w:tcPr>
          <w:p w:rsidR="00621BDC" w:rsidRPr="004231B6" w:rsidRDefault="00621BDC" w:rsidP="00EE70D4">
            <w:pPr>
              <w:jc w:val="both"/>
              <w:rPr>
                <w:rFonts w:ascii="Arial" w:hAnsi="Arial" w:cs="Arial"/>
              </w:rPr>
            </w:pPr>
          </w:p>
        </w:tc>
        <w:tc>
          <w:tcPr>
            <w:tcW w:w="984" w:type="dxa"/>
            <w:tcBorders>
              <w:top w:val="nil"/>
              <w:left w:val="nil"/>
              <w:bottom w:val="nil"/>
              <w:right w:val="nil"/>
            </w:tcBorders>
          </w:tcPr>
          <w:p w:rsidR="00621BDC" w:rsidRDefault="00B926A1" w:rsidP="00F679B5">
            <w:pPr>
              <w:jc w:val="both"/>
              <w:rPr>
                <w:rFonts w:ascii="Arial" w:hAnsi="Arial" w:cs="Arial"/>
              </w:rPr>
            </w:pPr>
            <w:r>
              <w:rPr>
                <w:rFonts w:ascii="Arial" w:hAnsi="Arial" w:cs="Arial"/>
              </w:rPr>
              <w:t>8</w:t>
            </w:r>
            <w:r w:rsidR="00E50273">
              <w:rPr>
                <w:rFonts w:ascii="Arial" w:hAnsi="Arial" w:cs="Arial"/>
              </w:rPr>
              <w:t>.</w:t>
            </w:r>
            <w:r w:rsidR="00F679B5">
              <w:rPr>
                <w:rFonts w:ascii="Arial" w:hAnsi="Arial" w:cs="Arial"/>
              </w:rPr>
              <w:t>8</w:t>
            </w:r>
            <w:r w:rsidR="00E50273">
              <w:rPr>
                <w:rFonts w:ascii="Arial" w:hAnsi="Arial" w:cs="Arial"/>
              </w:rPr>
              <w:t>.3</w:t>
            </w:r>
          </w:p>
        </w:tc>
        <w:tc>
          <w:tcPr>
            <w:tcW w:w="6811" w:type="dxa"/>
            <w:tcBorders>
              <w:top w:val="nil"/>
              <w:left w:val="nil"/>
              <w:bottom w:val="nil"/>
              <w:right w:val="nil"/>
            </w:tcBorders>
          </w:tcPr>
          <w:p w:rsidR="00EB42FD" w:rsidRPr="00EB42FD" w:rsidRDefault="00E50273" w:rsidP="00E50273">
            <w:pPr>
              <w:jc w:val="both"/>
              <w:rPr>
                <w:rFonts w:ascii="Arial" w:hAnsi="Arial" w:cs="Arial"/>
                <w:b/>
              </w:rPr>
            </w:pPr>
            <w:r w:rsidRPr="00E50273">
              <w:rPr>
                <w:rFonts w:ascii="Arial" w:hAnsi="Arial" w:cs="Arial"/>
                <w:b/>
              </w:rPr>
              <w:t>Decommissioning of the service</w:t>
            </w:r>
            <w:r w:rsidRPr="00E50273">
              <w:rPr>
                <w:rFonts w:ascii="Arial" w:hAnsi="Arial" w:cs="Arial"/>
              </w:rPr>
              <w:t xml:space="preserve"> </w:t>
            </w:r>
            <w:r w:rsidR="00EB42FD" w:rsidRPr="00EB42FD">
              <w:rPr>
                <w:rFonts w:ascii="Arial" w:hAnsi="Arial" w:cs="Arial"/>
                <w:b/>
              </w:rPr>
              <w:t>(subject to the engagement process</w:t>
            </w:r>
            <w:r w:rsidR="000723A5">
              <w:rPr>
                <w:rFonts w:ascii="Arial" w:hAnsi="Arial" w:cs="Arial"/>
                <w:b/>
              </w:rPr>
              <w:t xml:space="preserve"> and appropriate timelines</w:t>
            </w:r>
            <w:r w:rsidR="00EB42FD" w:rsidRPr="00EB42FD">
              <w:rPr>
                <w:rFonts w:ascii="Arial" w:hAnsi="Arial" w:cs="Arial"/>
                <w:b/>
              </w:rPr>
              <w:t>)</w:t>
            </w:r>
          </w:p>
          <w:p w:rsidR="00E50273" w:rsidRDefault="00E50273" w:rsidP="00E50273">
            <w:pPr>
              <w:jc w:val="both"/>
              <w:rPr>
                <w:rFonts w:ascii="Arial" w:hAnsi="Arial" w:cs="Arial"/>
              </w:rPr>
            </w:pPr>
            <w:r>
              <w:rPr>
                <w:rFonts w:ascii="Arial" w:hAnsi="Arial" w:cs="Arial"/>
              </w:rPr>
              <w:t>Governing Body may decide to decommission a service where</w:t>
            </w:r>
            <w:r w:rsidR="00980A8A">
              <w:rPr>
                <w:rFonts w:ascii="Arial" w:hAnsi="Arial" w:cs="Arial"/>
              </w:rPr>
              <w:t xml:space="preserve"> there is evidence of one or more of the following</w:t>
            </w:r>
            <w:r>
              <w:rPr>
                <w:rFonts w:ascii="Arial" w:hAnsi="Arial" w:cs="Arial"/>
              </w:rPr>
              <w:t>:</w:t>
            </w:r>
          </w:p>
          <w:p w:rsidR="00B945F3" w:rsidRDefault="00B945F3" w:rsidP="00E50273">
            <w:pPr>
              <w:jc w:val="both"/>
              <w:rPr>
                <w:rFonts w:ascii="Arial" w:hAnsi="Arial" w:cs="Arial"/>
              </w:rPr>
            </w:pPr>
          </w:p>
          <w:p w:rsidR="00E50273" w:rsidRDefault="00E50273" w:rsidP="00EA08AA">
            <w:pPr>
              <w:pStyle w:val="ListParagraph"/>
              <w:numPr>
                <w:ilvl w:val="0"/>
                <w:numId w:val="16"/>
              </w:numPr>
              <w:jc w:val="both"/>
              <w:rPr>
                <w:rFonts w:ascii="Arial" w:hAnsi="Arial" w:cs="Arial"/>
              </w:rPr>
            </w:pPr>
            <w:r w:rsidRPr="00E50273">
              <w:rPr>
                <w:rFonts w:ascii="Arial" w:hAnsi="Arial" w:cs="Arial"/>
              </w:rPr>
              <w:t>A</w:t>
            </w:r>
            <w:r w:rsidR="007D0F60">
              <w:rPr>
                <w:rFonts w:ascii="Arial" w:hAnsi="Arial" w:cs="Arial"/>
              </w:rPr>
              <w:t xml:space="preserve">n </w:t>
            </w:r>
            <w:r w:rsidRPr="00E50273">
              <w:rPr>
                <w:rFonts w:ascii="Arial" w:hAnsi="Arial" w:cs="Arial"/>
              </w:rPr>
              <w:t>existing service</w:t>
            </w:r>
            <w:r w:rsidR="007D0F60">
              <w:rPr>
                <w:rFonts w:ascii="Arial" w:hAnsi="Arial" w:cs="Arial"/>
              </w:rPr>
              <w:t xml:space="preserve"> is </w:t>
            </w:r>
            <w:r w:rsidRPr="00E50273">
              <w:rPr>
                <w:rFonts w:ascii="Arial" w:hAnsi="Arial" w:cs="Arial"/>
              </w:rPr>
              <w:t>not meeting the</w:t>
            </w:r>
            <w:r>
              <w:rPr>
                <w:rFonts w:ascii="Arial" w:hAnsi="Arial" w:cs="Arial"/>
              </w:rPr>
              <w:t xml:space="preserve"> health needs of the population</w:t>
            </w:r>
          </w:p>
          <w:p w:rsidR="00E50273" w:rsidRDefault="00E50273" w:rsidP="00EA08AA">
            <w:pPr>
              <w:pStyle w:val="ListParagraph"/>
              <w:numPr>
                <w:ilvl w:val="0"/>
                <w:numId w:val="16"/>
              </w:numPr>
              <w:jc w:val="both"/>
              <w:rPr>
                <w:rFonts w:ascii="Arial" w:hAnsi="Arial" w:cs="Arial"/>
              </w:rPr>
            </w:pPr>
            <w:r w:rsidRPr="00E50273">
              <w:rPr>
                <w:rFonts w:ascii="Arial" w:hAnsi="Arial" w:cs="Arial"/>
              </w:rPr>
              <w:t>The original decision to fund a service was made on ass</w:t>
            </w:r>
            <w:r>
              <w:rPr>
                <w:rFonts w:ascii="Arial" w:hAnsi="Arial" w:cs="Arial"/>
              </w:rPr>
              <w:t>umptions that have not realised</w:t>
            </w:r>
          </w:p>
          <w:p w:rsidR="00E50273" w:rsidRDefault="00E50273" w:rsidP="00EA08AA">
            <w:pPr>
              <w:pStyle w:val="ListParagraph"/>
              <w:numPr>
                <w:ilvl w:val="0"/>
                <w:numId w:val="16"/>
              </w:numPr>
              <w:jc w:val="both"/>
              <w:rPr>
                <w:rFonts w:ascii="Arial" w:hAnsi="Arial" w:cs="Arial"/>
              </w:rPr>
            </w:pPr>
            <w:r w:rsidRPr="00E50273">
              <w:rPr>
                <w:rFonts w:ascii="Arial" w:hAnsi="Arial" w:cs="Arial"/>
              </w:rPr>
              <w:t>There are demonstrable benefits</w:t>
            </w:r>
            <w:r w:rsidR="007D0F60">
              <w:rPr>
                <w:rFonts w:ascii="Arial" w:hAnsi="Arial" w:cs="Arial"/>
              </w:rPr>
              <w:t xml:space="preserve"> to patients from</w:t>
            </w:r>
            <w:r w:rsidRPr="00E50273">
              <w:rPr>
                <w:rFonts w:ascii="Arial" w:hAnsi="Arial" w:cs="Arial"/>
              </w:rPr>
              <w:t xml:space="preserve"> t</w:t>
            </w:r>
            <w:r>
              <w:rPr>
                <w:rFonts w:ascii="Arial" w:hAnsi="Arial" w:cs="Arial"/>
              </w:rPr>
              <w:t>he decommissioning of a service</w:t>
            </w:r>
          </w:p>
          <w:p w:rsidR="00E50273" w:rsidRDefault="00E50273" w:rsidP="00EA08AA">
            <w:pPr>
              <w:pStyle w:val="ListParagraph"/>
              <w:numPr>
                <w:ilvl w:val="0"/>
                <w:numId w:val="16"/>
              </w:numPr>
              <w:jc w:val="both"/>
              <w:rPr>
                <w:rFonts w:ascii="Arial" w:hAnsi="Arial" w:cs="Arial"/>
              </w:rPr>
            </w:pPr>
            <w:r w:rsidRPr="00E50273">
              <w:rPr>
                <w:rFonts w:ascii="Arial" w:hAnsi="Arial" w:cs="Arial"/>
              </w:rPr>
              <w:t>The</w:t>
            </w:r>
            <w:r w:rsidR="007D0F60">
              <w:rPr>
                <w:rFonts w:ascii="Arial" w:hAnsi="Arial" w:cs="Arial"/>
              </w:rPr>
              <w:t xml:space="preserve"> provider cannot </w:t>
            </w:r>
            <w:r w:rsidRPr="00E50273">
              <w:rPr>
                <w:rFonts w:ascii="Arial" w:hAnsi="Arial" w:cs="Arial"/>
              </w:rPr>
              <w:t>demonstrate delivery of agreed outcome measures or deliver</w:t>
            </w:r>
            <w:r w:rsidR="007D0F60">
              <w:rPr>
                <w:rFonts w:ascii="Arial" w:hAnsi="Arial" w:cs="Arial"/>
              </w:rPr>
              <w:t>y of</w:t>
            </w:r>
            <w:r w:rsidRPr="00E50273">
              <w:rPr>
                <w:rFonts w:ascii="Arial" w:hAnsi="Arial" w:cs="Arial"/>
              </w:rPr>
              <w:t xml:space="preserve"> outcomes, despite agreed remedial action as de</w:t>
            </w:r>
            <w:r>
              <w:rPr>
                <w:rFonts w:ascii="Arial" w:hAnsi="Arial" w:cs="Arial"/>
              </w:rPr>
              <w:t>tailed in the relevant contract</w:t>
            </w:r>
          </w:p>
          <w:p w:rsidR="00EB42FD" w:rsidRPr="007D0F60" w:rsidRDefault="00EB42FD" w:rsidP="00EA08AA">
            <w:pPr>
              <w:pStyle w:val="ListParagraph"/>
              <w:numPr>
                <w:ilvl w:val="0"/>
                <w:numId w:val="16"/>
              </w:numPr>
              <w:jc w:val="both"/>
              <w:rPr>
                <w:rFonts w:ascii="Arial" w:hAnsi="Arial" w:cs="Arial"/>
              </w:rPr>
            </w:pPr>
            <w:r w:rsidRPr="007D0F60">
              <w:rPr>
                <w:rFonts w:ascii="Arial" w:hAnsi="Arial" w:cs="Arial"/>
              </w:rPr>
              <w:t>The s</w:t>
            </w:r>
            <w:r w:rsidR="00E50273" w:rsidRPr="007D0F60">
              <w:rPr>
                <w:rFonts w:ascii="Arial" w:hAnsi="Arial" w:cs="Arial"/>
              </w:rPr>
              <w:t>ervice does not deliver value for money</w:t>
            </w:r>
            <w:r w:rsidR="007D0F60" w:rsidRPr="007D0F60">
              <w:rPr>
                <w:rFonts w:ascii="Arial" w:hAnsi="Arial" w:cs="Arial"/>
              </w:rPr>
              <w:t xml:space="preserve"> and is unable to demonstrate clinical and cost effectiveness, so that </w:t>
            </w:r>
            <w:r w:rsidR="007D0F60">
              <w:rPr>
                <w:rFonts w:ascii="Arial" w:hAnsi="Arial" w:cs="Arial"/>
              </w:rPr>
              <w:t>t</w:t>
            </w:r>
            <w:r w:rsidR="00E50273" w:rsidRPr="007D0F60">
              <w:rPr>
                <w:rFonts w:ascii="Arial" w:hAnsi="Arial" w:cs="Arial"/>
              </w:rPr>
              <w:t xml:space="preserve">he investment in </w:t>
            </w:r>
            <w:r w:rsidR="007D0F60">
              <w:rPr>
                <w:rFonts w:ascii="Arial" w:hAnsi="Arial" w:cs="Arial"/>
              </w:rPr>
              <w:t>the</w:t>
            </w:r>
            <w:r w:rsidR="00E50273" w:rsidRPr="007D0F60">
              <w:rPr>
                <w:rFonts w:ascii="Arial" w:hAnsi="Arial" w:cs="Arial"/>
              </w:rPr>
              <w:t xml:space="preserve"> service does not maximise the health gain that could be achieved by re</w:t>
            </w:r>
            <w:r w:rsidRPr="007D0F60">
              <w:rPr>
                <w:rFonts w:ascii="Arial" w:hAnsi="Arial" w:cs="Arial"/>
              </w:rPr>
              <w:t>investing the funding elsewhere</w:t>
            </w:r>
          </w:p>
          <w:p w:rsidR="00EB42FD" w:rsidRDefault="00EB42FD" w:rsidP="00EA08AA">
            <w:pPr>
              <w:pStyle w:val="ListParagraph"/>
              <w:numPr>
                <w:ilvl w:val="0"/>
                <w:numId w:val="16"/>
              </w:numPr>
              <w:jc w:val="both"/>
              <w:rPr>
                <w:rFonts w:ascii="Arial" w:hAnsi="Arial" w:cs="Arial"/>
              </w:rPr>
            </w:pPr>
            <w:r>
              <w:rPr>
                <w:rFonts w:ascii="Arial" w:hAnsi="Arial" w:cs="Arial"/>
              </w:rPr>
              <w:t>The s</w:t>
            </w:r>
            <w:r w:rsidR="00E50273" w:rsidRPr="00EB42FD">
              <w:rPr>
                <w:rFonts w:ascii="Arial" w:hAnsi="Arial" w:cs="Arial"/>
              </w:rPr>
              <w:t xml:space="preserve">ervice fails to meet the standards of a modern NHS as defined by the NHS constitution, </w:t>
            </w:r>
            <w:r>
              <w:rPr>
                <w:rFonts w:ascii="Arial" w:hAnsi="Arial" w:cs="Arial"/>
              </w:rPr>
              <w:t>clinical evidence and nationally driven changes</w:t>
            </w:r>
          </w:p>
          <w:p w:rsidR="00EB42FD" w:rsidRPr="007D0F60" w:rsidRDefault="00E50273" w:rsidP="00EA08AA">
            <w:pPr>
              <w:pStyle w:val="ListParagraph"/>
              <w:numPr>
                <w:ilvl w:val="0"/>
                <w:numId w:val="16"/>
              </w:numPr>
              <w:jc w:val="both"/>
              <w:rPr>
                <w:rFonts w:ascii="Arial" w:hAnsi="Arial" w:cs="Arial"/>
              </w:rPr>
            </w:pPr>
            <w:r w:rsidRPr="007D0F60">
              <w:rPr>
                <w:rFonts w:ascii="Arial" w:hAnsi="Arial" w:cs="Arial"/>
              </w:rPr>
              <w:t>The service provided is no longer the statutory resp</w:t>
            </w:r>
            <w:r w:rsidR="00EB42FD" w:rsidRPr="007D0F60">
              <w:rPr>
                <w:rFonts w:ascii="Arial" w:hAnsi="Arial" w:cs="Arial"/>
              </w:rPr>
              <w:t>onsibility of the CCG</w:t>
            </w:r>
            <w:r w:rsidR="007D0F60" w:rsidRPr="007D0F60">
              <w:rPr>
                <w:rFonts w:ascii="Arial" w:hAnsi="Arial" w:cs="Arial"/>
              </w:rPr>
              <w:t xml:space="preserve">, or is </w:t>
            </w:r>
            <w:r w:rsidRPr="007D0F60">
              <w:rPr>
                <w:rFonts w:ascii="Arial" w:hAnsi="Arial" w:cs="Arial"/>
              </w:rPr>
              <w:t>no longer a compo</w:t>
            </w:r>
            <w:r w:rsidR="00EB42FD" w:rsidRPr="007D0F60">
              <w:rPr>
                <w:rFonts w:ascii="Arial" w:hAnsi="Arial" w:cs="Arial"/>
              </w:rPr>
              <w:t>nent of the CCG</w:t>
            </w:r>
            <w:r w:rsidR="007D0F60">
              <w:rPr>
                <w:rFonts w:ascii="Arial" w:hAnsi="Arial" w:cs="Arial"/>
              </w:rPr>
              <w:t>’</w:t>
            </w:r>
            <w:r w:rsidR="00EB42FD" w:rsidRPr="007D0F60">
              <w:rPr>
                <w:rFonts w:ascii="Arial" w:hAnsi="Arial" w:cs="Arial"/>
              </w:rPr>
              <w:t>s core provision</w:t>
            </w:r>
          </w:p>
          <w:p w:rsidR="00621BDC" w:rsidRDefault="00E50273" w:rsidP="00EA08AA">
            <w:pPr>
              <w:pStyle w:val="ListParagraph"/>
              <w:numPr>
                <w:ilvl w:val="0"/>
                <w:numId w:val="16"/>
              </w:numPr>
              <w:jc w:val="both"/>
              <w:rPr>
                <w:rFonts w:ascii="Arial" w:hAnsi="Arial" w:cs="Arial"/>
              </w:rPr>
            </w:pPr>
            <w:r w:rsidRPr="00EB42FD">
              <w:rPr>
                <w:rFonts w:ascii="Arial" w:hAnsi="Arial" w:cs="Arial"/>
              </w:rPr>
              <w:t>The service is unsafe or of poor quality.</w:t>
            </w:r>
          </w:p>
          <w:p w:rsidR="00EB42FD" w:rsidRPr="00EB42FD" w:rsidRDefault="00EB42FD" w:rsidP="00EB42FD">
            <w:pPr>
              <w:pStyle w:val="ListParagraph"/>
              <w:jc w:val="both"/>
              <w:rPr>
                <w:rFonts w:ascii="Arial" w:hAnsi="Arial" w:cs="Arial"/>
              </w:rPr>
            </w:pPr>
          </w:p>
        </w:tc>
      </w:tr>
      <w:tr w:rsidR="00E50273" w:rsidRPr="004231B6" w:rsidTr="00EE70D4">
        <w:tc>
          <w:tcPr>
            <w:tcW w:w="642" w:type="dxa"/>
            <w:tcBorders>
              <w:top w:val="nil"/>
              <w:left w:val="nil"/>
              <w:bottom w:val="nil"/>
              <w:right w:val="nil"/>
            </w:tcBorders>
          </w:tcPr>
          <w:p w:rsidR="00E50273" w:rsidRPr="004231B6" w:rsidRDefault="00E50273" w:rsidP="00EE70D4">
            <w:pPr>
              <w:jc w:val="both"/>
              <w:rPr>
                <w:rFonts w:ascii="Arial" w:hAnsi="Arial" w:cs="Arial"/>
              </w:rPr>
            </w:pPr>
          </w:p>
        </w:tc>
        <w:tc>
          <w:tcPr>
            <w:tcW w:w="805" w:type="dxa"/>
            <w:tcBorders>
              <w:top w:val="nil"/>
              <w:left w:val="nil"/>
              <w:bottom w:val="nil"/>
              <w:right w:val="nil"/>
            </w:tcBorders>
          </w:tcPr>
          <w:p w:rsidR="00E50273" w:rsidRPr="004231B6" w:rsidRDefault="00E50273" w:rsidP="00EE70D4">
            <w:pPr>
              <w:jc w:val="both"/>
              <w:rPr>
                <w:rFonts w:ascii="Arial" w:hAnsi="Arial" w:cs="Arial"/>
              </w:rPr>
            </w:pPr>
          </w:p>
        </w:tc>
        <w:tc>
          <w:tcPr>
            <w:tcW w:w="984" w:type="dxa"/>
            <w:tcBorders>
              <w:top w:val="nil"/>
              <w:left w:val="nil"/>
              <w:bottom w:val="nil"/>
              <w:right w:val="nil"/>
            </w:tcBorders>
          </w:tcPr>
          <w:p w:rsidR="00E50273" w:rsidRDefault="00B926A1" w:rsidP="00F679B5">
            <w:pPr>
              <w:jc w:val="both"/>
              <w:rPr>
                <w:rFonts w:ascii="Arial" w:hAnsi="Arial" w:cs="Arial"/>
              </w:rPr>
            </w:pPr>
            <w:r>
              <w:rPr>
                <w:rFonts w:ascii="Arial" w:hAnsi="Arial" w:cs="Arial"/>
              </w:rPr>
              <w:t>8</w:t>
            </w:r>
            <w:r w:rsidR="00EB42FD">
              <w:rPr>
                <w:rFonts w:ascii="Arial" w:hAnsi="Arial" w:cs="Arial"/>
              </w:rPr>
              <w:t>.</w:t>
            </w:r>
            <w:r w:rsidR="00F679B5">
              <w:rPr>
                <w:rFonts w:ascii="Arial" w:hAnsi="Arial" w:cs="Arial"/>
              </w:rPr>
              <w:t>8</w:t>
            </w:r>
            <w:r w:rsidR="00EB42FD">
              <w:rPr>
                <w:rFonts w:ascii="Arial" w:hAnsi="Arial" w:cs="Arial"/>
              </w:rPr>
              <w:t>.4</w:t>
            </w:r>
          </w:p>
        </w:tc>
        <w:tc>
          <w:tcPr>
            <w:tcW w:w="6811" w:type="dxa"/>
            <w:tcBorders>
              <w:top w:val="nil"/>
              <w:left w:val="nil"/>
              <w:bottom w:val="nil"/>
              <w:right w:val="nil"/>
            </w:tcBorders>
          </w:tcPr>
          <w:p w:rsidR="00EB42FD" w:rsidRDefault="00E50273" w:rsidP="006E6E0E">
            <w:pPr>
              <w:jc w:val="both"/>
              <w:rPr>
                <w:rFonts w:ascii="Arial" w:hAnsi="Arial" w:cs="Arial"/>
              </w:rPr>
            </w:pPr>
            <w:r w:rsidRPr="00E50273">
              <w:rPr>
                <w:rFonts w:ascii="Arial" w:hAnsi="Arial" w:cs="Arial"/>
              </w:rPr>
              <w:t xml:space="preserve">Where decommissioning is a direct result of the provider’s breach of contract, </w:t>
            </w:r>
            <w:r w:rsidR="00EB42FD">
              <w:rPr>
                <w:rFonts w:ascii="Arial" w:hAnsi="Arial" w:cs="Arial"/>
              </w:rPr>
              <w:t xml:space="preserve">and </w:t>
            </w:r>
            <w:r w:rsidRPr="00E50273">
              <w:rPr>
                <w:rFonts w:ascii="Arial" w:hAnsi="Arial" w:cs="Arial"/>
              </w:rPr>
              <w:t>a service must be maintained in the short to mid-term, options for recovering any excess cost shall be pursued via the contractual terms and conditions.</w:t>
            </w:r>
          </w:p>
          <w:p w:rsidR="007D0F60" w:rsidRPr="006E6E0E" w:rsidRDefault="007D0F60" w:rsidP="006E6E0E">
            <w:pPr>
              <w:jc w:val="both"/>
              <w:rPr>
                <w:rFonts w:ascii="Arial" w:hAnsi="Arial" w:cs="Arial"/>
              </w:rPr>
            </w:pPr>
          </w:p>
        </w:tc>
      </w:tr>
      <w:tr w:rsidR="00E50273" w:rsidRPr="004231B6" w:rsidTr="00EE70D4">
        <w:tc>
          <w:tcPr>
            <w:tcW w:w="642" w:type="dxa"/>
            <w:tcBorders>
              <w:top w:val="nil"/>
              <w:left w:val="nil"/>
              <w:bottom w:val="nil"/>
              <w:right w:val="nil"/>
            </w:tcBorders>
          </w:tcPr>
          <w:p w:rsidR="00E50273" w:rsidRPr="004231B6" w:rsidRDefault="00E50273" w:rsidP="00EE70D4">
            <w:pPr>
              <w:jc w:val="both"/>
              <w:rPr>
                <w:rFonts w:ascii="Arial" w:hAnsi="Arial" w:cs="Arial"/>
              </w:rPr>
            </w:pPr>
          </w:p>
        </w:tc>
        <w:tc>
          <w:tcPr>
            <w:tcW w:w="805" w:type="dxa"/>
            <w:tcBorders>
              <w:top w:val="nil"/>
              <w:left w:val="nil"/>
              <w:bottom w:val="nil"/>
              <w:right w:val="nil"/>
            </w:tcBorders>
          </w:tcPr>
          <w:p w:rsidR="00E50273" w:rsidRPr="004231B6" w:rsidRDefault="00E50273" w:rsidP="00EE70D4">
            <w:pPr>
              <w:jc w:val="both"/>
              <w:rPr>
                <w:rFonts w:ascii="Arial" w:hAnsi="Arial" w:cs="Arial"/>
              </w:rPr>
            </w:pPr>
          </w:p>
        </w:tc>
        <w:tc>
          <w:tcPr>
            <w:tcW w:w="984" w:type="dxa"/>
            <w:tcBorders>
              <w:top w:val="nil"/>
              <w:left w:val="nil"/>
              <w:bottom w:val="nil"/>
              <w:right w:val="nil"/>
            </w:tcBorders>
          </w:tcPr>
          <w:p w:rsidR="00E50273" w:rsidRDefault="00B926A1" w:rsidP="00EE70D4">
            <w:pPr>
              <w:jc w:val="both"/>
              <w:rPr>
                <w:rFonts w:ascii="Arial" w:hAnsi="Arial" w:cs="Arial"/>
              </w:rPr>
            </w:pPr>
            <w:r>
              <w:rPr>
                <w:rFonts w:ascii="Arial" w:hAnsi="Arial" w:cs="Arial"/>
              </w:rPr>
              <w:t>8</w:t>
            </w:r>
            <w:r w:rsidR="00EB42FD">
              <w:rPr>
                <w:rFonts w:ascii="Arial" w:hAnsi="Arial" w:cs="Arial"/>
              </w:rPr>
              <w:t>.</w:t>
            </w:r>
            <w:r w:rsidR="00F679B5">
              <w:rPr>
                <w:rFonts w:ascii="Arial" w:hAnsi="Arial" w:cs="Arial"/>
              </w:rPr>
              <w:t>8.5</w:t>
            </w:r>
          </w:p>
        </w:tc>
        <w:tc>
          <w:tcPr>
            <w:tcW w:w="6811" w:type="dxa"/>
            <w:tcBorders>
              <w:top w:val="nil"/>
              <w:left w:val="nil"/>
              <w:bottom w:val="nil"/>
              <w:right w:val="nil"/>
            </w:tcBorders>
          </w:tcPr>
          <w:p w:rsidR="00E50273" w:rsidRDefault="00EB42FD" w:rsidP="00EB42FD">
            <w:pPr>
              <w:jc w:val="both"/>
              <w:rPr>
                <w:rFonts w:ascii="Arial" w:hAnsi="Arial" w:cs="Arial"/>
              </w:rPr>
            </w:pPr>
            <w:r w:rsidRPr="00EB42FD">
              <w:rPr>
                <w:rFonts w:ascii="Arial" w:hAnsi="Arial" w:cs="Arial"/>
              </w:rPr>
              <w:t>Where decommissioning is the result of an insufficient health need, the funding should be identified as a QIPP saving.</w:t>
            </w:r>
          </w:p>
          <w:p w:rsidR="00EB42FD" w:rsidRPr="006E6E0E" w:rsidRDefault="00EB42FD" w:rsidP="00EB42FD">
            <w:pPr>
              <w:jc w:val="both"/>
              <w:rPr>
                <w:rFonts w:ascii="Arial" w:hAnsi="Arial" w:cs="Arial"/>
              </w:rPr>
            </w:pPr>
          </w:p>
        </w:tc>
      </w:tr>
      <w:tr w:rsidR="00E50273" w:rsidRPr="004231B6" w:rsidTr="00EE70D4">
        <w:tc>
          <w:tcPr>
            <w:tcW w:w="642" w:type="dxa"/>
            <w:tcBorders>
              <w:top w:val="nil"/>
              <w:left w:val="nil"/>
              <w:bottom w:val="nil"/>
              <w:right w:val="nil"/>
            </w:tcBorders>
          </w:tcPr>
          <w:p w:rsidR="00E50273" w:rsidRPr="004231B6" w:rsidRDefault="00E50273" w:rsidP="00EE70D4">
            <w:pPr>
              <w:jc w:val="both"/>
              <w:rPr>
                <w:rFonts w:ascii="Arial" w:hAnsi="Arial" w:cs="Arial"/>
              </w:rPr>
            </w:pPr>
          </w:p>
        </w:tc>
        <w:tc>
          <w:tcPr>
            <w:tcW w:w="805" w:type="dxa"/>
            <w:tcBorders>
              <w:top w:val="nil"/>
              <w:left w:val="nil"/>
              <w:bottom w:val="nil"/>
              <w:right w:val="nil"/>
            </w:tcBorders>
          </w:tcPr>
          <w:p w:rsidR="00E50273" w:rsidRPr="004231B6" w:rsidRDefault="00E50273" w:rsidP="00EE70D4">
            <w:pPr>
              <w:jc w:val="both"/>
              <w:rPr>
                <w:rFonts w:ascii="Arial" w:hAnsi="Arial" w:cs="Arial"/>
              </w:rPr>
            </w:pPr>
          </w:p>
        </w:tc>
        <w:tc>
          <w:tcPr>
            <w:tcW w:w="984" w:type="dxa"/>
            <w:tcBorders>
              <w:top w:val="nil"/>
              <w:left w:val="nil"/>
              <w:bottom w:val="nil"/>
              <w:right w:val="nil"/>
            </w:tcBorders>
          </w:tcPr>
          <w:p w:rsidR="00E50273" w:rsidRDefault="00B926A1" w:rsidP="00EE70D4">
            <w:pPr>
              <w:jc w:val="both"/>
              <w:rPr>
                <w:rFonts w:ascii="Arial" w:hAnsi="Arial" w:cs="Arial"/>
              </w:rPr>
            </w:pPr>
            <w:r>
              <w:rPr>
                <w:rFonts w:ascii="Arial" w:hAnsi="Arial" w:cs="Arial"/>
              </w:rPr>
              <w:t>8</w:t>
            </w:r>
            <w:r w:rsidR="00EB42FD">
              <w:rPr>
                <w:rFonts w:ascii="Arial" w:hAnsi="Arial" w:cs="Arial"/>
              </w:rPr>
              <w:t>.</w:t>
            </w:r>
            <w:r w:rsidR="00F679B5">
              <w:rPr>
                <w:rFonts w:ascii="Arial" w:hAnsi="Arial" w:cs="Arial"/>
              </w:rPr>
              <w:t>8.6</w:t>
            </w:r>
          </w:p>
        </w:tc>
        <w:tc>
          <w:tcPr>
            <w:tcW w:w="6811" w:type="dxa"/>
            <w:tcBorders>
              <w:top w:val="nil"/>
              <w:left w:val="nil"/>
              <w:bottom w:val="nil"/>
              <w:right w:val="nil"/>
            </w:tcBorders>
          </w:tcPr>
          <w:p w:rsidR="00E50273" w:rsidRPr="000723A5" w:rsidRDefault="0024230A" w:rsidP="006E6E0E">
            <w:pPr>
              <w:jc w:val="both"/>
              <w:rPr>
                <w:rFonts w:ascii="Arial" w:hAnsi="Arial" w:cs="Arial"/>
              </w:rPr>
            </w:pPr>
            <w:r>
              <w:rPr>
                <w:rFonts w:ascii="Arial" w:hAnsi="Arial" w:cs="Arial"/>
              </w:rPr>
              <w:t xml:space="preserve">No </w:t>
            </w:r>
            <w:r w:rsidR="00EB42FD" w:rsidRPr="000723A5">
              <w:rPr>
                <w:rFonts w:ascii="Arial" w:hAnsi="Arial" w:cs="Arial"/>
              </w:rPr>
              <w:t xml:space="preserve">decommissioning of the service will commence until the relevant </w:t>
            </w:r>
            <w:r w:rsidR="000723A5" w:rsidRPr="000723A5">
              <w:rPr>
                <w:rFonts w:ascii="Arial" w:hAnsi="Arial" w:cs="Arial"/>
              </w:rPr>
              <w:t>engagement process has been completed</w:t>
            </w:r>
            <w:r w:rsidR="00F679B5">
              <w:rPr>
                <w:rFonts w:ascii="Arial" w:hAnsi="Arial" w:cs="Arial"/>
              </w:rPr>
              <w:t xml:space="preserve"> (see section 8.6</w:t>
            </w:r>
            <w:r w:rsidR="00EB42FD" w:rsidRPr="000723A5">
              <w:rPr>
                <w:rFonts w:ascii="Arial" w:hAnsi="Arial" w:cs="Arial"/>
              </w:rPr>
              <w:t>).</w:t>
            </w:r>
          </w:p>
          <w:p w:rsidR="00EB42FD" w:rsidRPr="006E6E0E" w:rsidRDefault="00EB42FD" w:rsidP="006E6E0E">
            <w:pPr>
              <w:jc w:val="both"/>
              <w:rPr>
                <w:rFonts w:ascii="Arial" w:hAnsi="Arial" w:cs="Arial"/>
              </w:rPr>
            </w:pPr>
          </w:p>
        </w:tc>
      </w:tr>
      <w:tr w:rsidR="00B36B14" w:rsidRPr="004231B6" w:rsidTr="009235F4">
        <w:tc>
          <w:tcPr>
            <w:tcW w:w="642" w:type="dxa"/>
            <w:tcBorders>
              <w:top w:val="nil"/>
              <w:left w:val="nil"/>
              <w:bottom w:val="nil"/>
              <w:right w:val="nil"/>
            </w:tcBorders>
          </w:tcPr>
          <w:p w:rsidR="00B36B14" w:rsidRPr="004231B6" w:rsidRDefault="00B36B14" w:rsidP="00EE70D4">
            <w:pPr>
              <w:jc w:val="both"/>
              <w:rPr>
                <w:rFonts w:ascii="Arial" w:hAnsi="Arial" w:cs="Arial"/>
              </w:rPr>
            </w:pPr>
          </w:p>
        </w:tc>
        <w:tc>
          <w:tcPr>
            <w:tcW w:w="805" w:type="dxa"/>
            <w:tcBorders>
              <w:top w:val="nil"/>
              <w:left w:val="nil"/>
              <w:bottom w:val="nil"/>
              <w:right w:val="nil"/>
            </w:tcBorders>
          </w:tcPr>
          <w:p w:rsidR="00B36B14" w:rsidRPr="004231B6" w:rsidRDefault="00B926A1" w:rsidP="00EE70D4">
            <w:pPr>
              <w:jc w:val="both"/>
              <w:rPr>
                <w:rFonts w:ascii="Arial" w:hAnsi="Arial" w:cs="Arial"/>
              </w:rPr>
            </w:pPr>
            <w:r>
              <w:rPr>
                <w:rFonts w:ascii="Arial" w:hAnsi="Arial" w:cs="Arial"/>
              </w:rPr>
              <w:t>8</w:t>
            </w:r>
            <w:r w:rsidR="00B36B14">
              <w:rPr>
                <w:rFonts w:ascii="Arial" w:hAnsi="Arial" w:cs="Arial"/>
              </w:rPr>
              <w:t>.</w:t>
            </w:r>
            <w:r w:rsidR="00F679B5">
              <w:rPr>
                <w:rFonts w:ascii="Arial" w:hAnsi="Arial" w:cs="Arial"/>
              </w:rPr>
              <w:t>9</w:t>
            </w:r>
          </w:p>
        </w:tc>
        <w:tc>
          <w:tcPr>
            <w:tcW w:w="7795" w:type="dxa"/>
            <w:gridSpan w:val="2"/>
            <w:tcBorders>
              <w:top w:val="nil"/>
              <w:left w:val="nil"/>
              <w:bottom w:val="nil"/>
              <w:right w:val="nil"/>
            </w:tcBorders>
          </w:tcPr>
          <w:p w:rsidR="00B36B14" w:rsidRPr="00B36B14" w:rsidRDefault="00B36B14" w:rsidP="00B36B14">
            <w:pPr>
              <w:jc w:val="both"/>
              <w:rPr>
                <w:rFonts w:ascii="Arial" w:hAnsi="Arial" w:cs="Arial"/>
                <w:b/>
              </w:rPr>
            </w:pPr>
            <w:r w:rsidRPr="00B36B14">
              <w:rPr>
                <w:rFonts w:ascii="Arial" w:hAnsi="Arial" w:cs="Arial"/>
                <w:b/>
              </w:rPr>
              <w:t>Decommissioning Process</w:t>
            </w:r>
          </w:p>
          <w:p w:rsidR="00B36B14" w:rsidRPr="00B36B14" w:rsidRDefault="00B36B14" w:rsidP="00B36B14">
            <w:pPr>
              <w:jc w:val="both"/>
              <w:rPr>
                <w:rFonts w:ascii="Arial" w:hAnsi="Arial" w:cs="Arial"/>
              </w:rPr>
            </w:pPr>
            <w:r w:rsidRPr="00B36B14">
              <w:rPr>
                <w:rFonts w:ascii="Arial" w:hAnsi="Arial" w:cs="Arial"/>
              </w:rPr>
              <w:t>Following the Governing Body’s decision to</w:t>
            </w:r>
            <w:r w:rsidR="00B926A1">
              <w:rPr>
                <w:rFonts w:ascii="Arial" w:hAnsi="Arial" w:cs="Arial"/>
              </w:rPr>
              <w:t xml:space="preserve"> </w:t>
            </w:r>
            <w:r>
              <w:rPr>
                <w:rFonts w:ascii="Arial" w:hAnsi="Arial" w:cs="Arial"/>
              </w:rPr>
              <w:t>decommission, th</w:t>
            </w:r>
            <w:r w:rsidRPr="00B36B14">
              <w:rPr>
                <w:rFonts w:ascii="Arial" w:hAnsi="Arial" w:cs="Arial"/>
              </w:rPr>
              <w:t>e CCG will commence the decommissioning process</w:t>
            </w:r>
            <w:r w:rsidR="006B327F">
              <w:rPr>
                <w:rFonts w:ascii="Arial" w:hAnsi="Arial" w:cs="Arial"/>
              </w:rPr>
              <w:t xml:space="preserve"> in accordance with the provisions of the NHS Standard Contract</w:t>
            </w:r>
            <w:r w:rsidRPr="00B36B14">
              <w:rPr>
                <w:rFonts w:ascii="Arial" w:hAnsi="Arial" w:cs="Arial"/>
              </w:rPr>
              <w:t>.</w:t>
            </w:r>
          </w:p>
          <w:p w:rsidR="00B36B14" w:rsidRPr="006E6E0E" w:rsidRDefault="00B36B14" w:rsidP="00B36B14">
            <w:pPr>
              <w:jc w:val="both"/>
              <w:rPr>
                <w:rFonts w:ascii="Arial" w:hAnsi="Arial" w:cs="Arial"/>
              </w:rPr>
            </w:pPr>
          </w:p>
        </w:tc>
      </w:tr>
      <w:tr w:rsidR="001C59D5" w:rsidRPr="004231B6" w:rsidTr="00EE70D4">
        <w:tc>
          <w:tcPr>
            <w:tcW w:w="642" w:type="dxa"/>
            <w:tcBorders>
              <w:top w:val="nil"/>
              <w:left w:val="nil"/>
              <w:bottom w:val="nil"/>
              <w:right w:val="nil"/>
            </w:tcBorders>
          </w:tcPr>
          <w:p w:rsidR="001C59D5" w:rsidRPr="004231B6" w:rsidRDefault="001C59D5" w:rsidP="00EE70D4">
            <w:pPr>
              <w:jc w:val="both"/>
              <w:rPr>
                <w:rFonts w:ascii="Arial" w:hAnsi="Arial" w:cs="Arial"/>
              </w:rPr>
            </w:pPr>
          </w:p>
        </w:tc>
        <w:tc>
          <w:tcPr>
            <w:tcW w:w="805" w:type="dxa"/>
            <w:tcBorders>
              <w:top w:val="nil"/>
              <w:left w:val="nil"/>
              <w:bottom w:val="nil"/>
              <w:right w:val="nil"/>
            </w:tcBorders>
          </w:tcPr>
          <w:p w:rsidR="001C59D5" w:rsidRPr="004231B6" w:rsidRDefault="001C59D5" w:rsidP="00EE70D4">
            <w:pPr>
              <w:jc w:val="both"/>
              <w:rPr>
                <w:rFonts w:ascii="Arial" w:hAnsi="Arial" w:cs="Arial"/>
              </w:rPr>
            </w:pPr>
          </w:p>
        </w:tc>
        <w:tc>
          <w:tcPr>
            <w:tcW w:w="984" w:type="dxa"/>
            <w:tcBorders>
              <w:top w:val="nil"/>
              <w:left w:val="nil"/>
              <w:bottom w:val="nil"/>
              <w:right w:val="nil"/>
            </w:tcBorders>
          </w:tcPr>
          <w:p w:rsidR="001C59D5" w:rsidRDefault="00B926A1" w:rsidP="00EE70D4">
            <w:pPr>
              <w:jc w:val="both"/>
              <w:rPr>
                <w:rFonts w:ascii="Arial" w:hAnsi="Arial" w:cs="Arial"/>
              </w:rPr>
            </w:pPr>
            <w:r>
              <w:rPr>
                <w:rFonts w:ascii="Arial" w:hAnsi="Arial" w:cs="Arial"/>
              </w:rPr>
              <w:t>8</w:t>
            </w:r>
            <w:r w:rsidR="00F679B5">
              <w:rPr>
                <w:rFonts w:ascii="Arial" w:hAnsi="Arial" w:cs="Arial"/>
              </w:rPr>
              <w:t>.9</w:t>
            </w:r>
            <w:r w:rsidR="00B36B14">
              <w:rPr>
                <w:rFonts w:ascii="Arial" w:hAnsi="Arial" w:cs="Arial"/>
              </w:rPr>
              <w:t>.1</w:t>
            </w:r>
          </w:p>
        </w:tc>
        <w:tc>
          <w:tcPr>
            <w:tcW w:w="6811" w:type="dxa"/>
            <w:tcBorders>
              <w:top w:val="nil"/>
              <w:left w:val="nil"/>
              <w:bottom w:val="nil"/>
              <w:right w:val="nil"/>
            </w:tcBorders>
          </w:tcPr>
          <w:p w:rsidR="001C59D5" w:rsidRDefault="00B36B14" w:rsidP="00B36B14">
            <w:pPr>
              <w:jc w:val="both"/>
              <w:rPr>
                <w:rFonts w:ascii="Arial" w:hAnsi="Arial" w:cs="Arial"/>
              </w:rPr>
            </w:pPr>
            <w:r w:rsidRPr="00B36B14">
              <w:rPr>
                <w:rFonts w:ascii="Arial" w:hAnsi="Arial" w:cs="Arial"/>
              </w:rPr>
              <w:t xml:space="preserve">The responsibility for serving notice to the provider is with the contract manager or as otherwise determined by the CCG </w:t>
            </w:r>
            <w:r>
              <w:rPr>
                <w:rFonts w:ascii="Arial" w:hAnsi="Arial" w:cs="Arial"/>
              </w:rPr>
              <w:t xml:space="preserve">Chief </w:t>
            </w:r>
            <w:r w:rsidRPr="00B36B14">
              <w:rPr>
                <w:rFonts w:ascii="Arial" w:hAnsi="Arial" w:cs="Arial"/>
              </w:rPr>
              <w:t>Officer.</w:t>
            </w:r>
          </w:p>
          <w:p w:rsidR="00F679B5" w:rsidRPr="006E6E0E" w:rsidRDefault="00F679B5" w:rsidP="00B36B14">
            <w:pPr>
              <w:jc w:val="both"/>
              <w:rPr>
                <w:rFonts w:ascii="Arial" w:hAnsi="Arial" w:cs="Arial"/>
              </w:rPr>
            </w:pPr>
          </w:p>
        </w:tc>
      </w:tr>
      <w:tr w:rsidR="001C59D5" w:rsidRPr="004231B6" w:rsidTr="00EE70D4">
        <w:tc>
          <w:tcPr>
            <w:tcW w:w="642" w:type="dxa"/>
            <w:tcBorders>
              <w:top w:val="nil"/>
              <w:left w:val="nil"/>
              <w:bottom w:val="nil"/>
              <w:right w:val="nil"/>
            </w:tcBorders>
          </w:tcPr>
          <w:p w:rsidR="001C59D5" w:rsidRPr="004231B6" w:rsidRDefault="001C59D5" w:rsidP="00EE70D4">
            <w:pPr>
              <w:jc w:val="both"/>
              <w:rPr>
                <w:rFonts w:ascii="Arial" w:hAnsi="Arial" w:cs="Arial"/>
              </w:rPr>
            </w:pPr>
          </w:p>
        </w:tc>
        <w:tc>
          <w:tcPr>
            <w:tcW w:w="805" w:type="dxa"/>
            <w:tcBorders>
              <w:top w:val="nil"/>
              <w:left w:val="nil"/>
              <w:bottom w:val="nil"/>
              <w:right w:val="nil"/>
            </w:tcBorders>
          </w:tcPr>
          <w:p w:rsidR="001C59D5" w:rsidRPr="004231B6" w:rsidRDefault="001C59D5" w:rsidP="00EE70D4">
            <w:pPr>
              <w:jc w:val="both"/>
              <w:rPr>
                <w:rFonts w:ascii="Arial" w:hAnsi="Arial" w:cs="Arial"/>
              </w:rPr>
            </w:pPr>
          </w:p>
        </w:tc>
        <w:tc>
          <w:tcPr>
            <w:tcW w:w="984" w:type="dxa"/>
            <w:tcBorders>
              <w:top w:val="nil"/>
              <w:left w:val="nil"/>
              <w:bottom w:val="nil"/>
              <w:right w:val="nil"/>
            </w:tcBorders>
          </w:tcPr>
          <w:p w:rsidR="001C59D5" w:rsidRDefault="00B926A1" w:rsidP="00F679B5">
            <w:pPr>
              <w:jc w:val="both"/>
              <w:rPr>
                <w:rFonts w:ascii="Arial" w:hAnsi="Arial" w:cs="Arial"/>
              </w:rPr>
            </w:pPr>
            <w:r>
              <w:rPr>
                <w:rFonts w:ascii="Arial" w:hAnsi="Arial" w:cs="Arial"/>
              </w:rPr>
              <w:t>8</w:t>
            </w:r>
            <w:r w:rsidR="00F679B5">
              <w:rPr>
                <w:rFonts w:ascii="Arial" w:hAnsi="Arial" w:cs="Arial"/>
              </w:rPr>
              <w:t>.9.</w:t>
            </w:r>
            <w:r w:rsidR="00B36B14">
              <w:rPr>
                <w:rFonts w:ascii="Arial" w:hAnsi="Arial" w:cs="Arial"/>
              </w:rPr>
              <w:t>2</w:t>
            </w:r>
          </w:p>
        </w:tc>
        <w:tc>
          <w:tcPr>
            <w:tcW w:w="6811" w:type="dxa"/>
            <w:tcBorders>
              <w:top w:val="nil"/>
              <w:left w:val="nil"/>
              <w:bottom w:val="nil"/>
              <w:right w:val="nil"/>
            </w:tcBorders>
          </w:tcPr>
          <w:p w:rsidR="00B36B14" w:rsidRDefault="00B36B14" w:rsidP="00B945F3">
            <w:pPr>
              <w:jc w:val="both"/>
              <w:rPr>
                <w:rFonts w:ascii="Arial" w:hAnsi="Arial" w:cs="Arial"/>
              </w:rPr>
            </w:pPr>
            <w:r w:rsidRPr="00B36B14">
              <w:rPr>
                <w:rFonts w:ascii="Arial" w:hAnsi="Arial" w:cs="Arial"/>
              </w:rPr>
              <w:t>The CCG will provide intelligence to the provider (as part of the notification letter) as to why the service has been decommissioned</w:t>
            </w:r>
            <w:r>
              <w:rPr>
                <w:rFonts w:ascii="Arial" w:hAnsi="Arial" w:cs="Arial"/>
              </w:rPr>
              <w:t>.</w:t>
            </w:r>
          </w:p>
          <w:p w:rsidR="00F679B5" w:rsidRPr="006E6E0E" w:rsidRDefault="00F679B5" w:rsidP="00B945F3">
            <w:pPr>
              <w:jc w:val="both"/>
              <w:rPr>
                <w:rFonts w:ascii="Arial" w:hAnsi="Arial" w:cs="Arial"/>
              </w:rPr>
            </w:pPr>
          </w:p>
        </w:tc>
      </w:tr>
      <w:tr w:rsidR="001C59D5" w:rsidRPr="004231B6" w:rsidTr="00EE70D4">
        <w:tc>
          <w:tcPr>
            <w:tcW w:w="642" w:type="dxa"/>
            <w:tcBorders>
              <w:top w:val="nil"/>
              <w:left w:val="nil"/>
              <w:bottom w:val="nil"/>
              <w:right w:val="nil"/>
            </w:tcBorders>
          </w:tcPr>
          <w:p w:rsidR="001C59D5" w:rsidRPr="004231B6" w:rsidRDefault="001C59D5" w:rsidP="00EE70D4">
            <w:pPr>
              <w:jc w:val="both"/>
              <w:rPr>
                <w:rFonts w:ascii="Arial" w:hAnsi="Arial" w:cs="Arial"/>
              </w:rPr>
            </w:pPr>
          </w:p>
        </w:tc>
        <w:tc>
          <w:tcPr>
            <w:tcW w:w="805" w:type="dxa"/>
            <w:tcBorders>
              <w:top w:val="nil"/>
              <w:left w:val="nil"/>
              <w:bottom w:val="nil"/>
              <w:right w:val="nil"/>
            </w:tcBorders>
          </w:tcPr>
          <w:p w:rsidR="001C59D5" w:rsidRPr="004231B6" w:rsidRDefault="001C59D5" w:rsidP="00EE70D4">
            <w:pPr>
              <w:jc w:val="both"/>
              <w:rPr>
                <w:rFonts w:ascii="Arial" w:hAnsi="Arial" w:cs="Arial"/>
              </w:rPr>
            </w:pPr>
          </w:p>
        </w:tc>
        <w:tc>
          <w:tcPr>
            <w:tcW w:w="984" w:type="dxa"/>
            <w:tcBorders>
              <w:top w:val="nil"/>
              <w:left w:val="nil"/>
              <w:bottom w:val="nil"/>
              <w:right w:val="nil"/>
            </w:tcBorders>
          </w:tcPr>
          <w:p w:rsidR="001C59D5" w:rsidRDefault="00B926A1" w:rsidP="00EE70D4">
            <w:pPr>
              <w:jc w:val="both"/>
              <w:rPr>
                <w:rFonts w:ascii="Arial" w:hAnsi="Arial" w:cs="Arial"/>
              </w:rPr>
            </w:pPr>
            <w:r>
              <w:rPr>
                <w:rFonts w:ascii="Arial" w:hAnsi="Arial" w:cs="Arial"/>
              </w:rPr>
              <w:t>8</w:t>
            </w:r>
            <w:r w:rsidR="00F679B5">
              <w:rPr>
                <w:rFonts w:ascii="Arial" w:hAnsi="Arial" w:cs="Arial"/>
              </w:rPr>
              <w:t>.9</w:t>
            </w:r>
            <w:r w:rsidR="00B36B14">
              <w:rPr>
                <w:rFonts w:ascii="Arial" w:hAnsi="Arial" w:cs="Arial"/>
              </w:rPr>
              <w:t>.3</w:t>
            </w:r>
          </w:p>
        </w:tc>
        <w:tc>
          <w:tcPr>
            <w:tcW w:w="6811" w:type="dxa"/>
            <w:tcBorders>
              <w:top w:val="nil"/>
              <w:left w:val="nil"/>
              <w:bottom w:val="nil"/>
              <w:right w:val="nil"/>
            </w:tcBorders>
          </w:tcPr>
          <w:p w:rsidR="009235F4" w:rsidRPr="006E6E0E" w:rsidRDefault="00B36B14" w:rsidP="006E6E0E">
            <w:pPr>
              <w:jc w:val="both"/>
              <w:rPr>
                <w:rFonts w:ascii="Arial" w:hAnsi="Arial" w:cs="Arial"/>
              </w:rPr>
            </w:pPr>
            <w:r w:rsidRPr="00B36B14">
              <w:rPr>
                <w:rFonts w:ascii="Arial" w:hAnsi="Arial" w:cs="Arial"/>
              </w:rPr>
              <w:t>The CCG will also communicate clearly what “next steps” will be undertaken in the process, and the appeal process.</w:t>
            </w:r>
          </w:p>
        </w:tc>
      </w:tr>
      <w:tr w:rsidR="006A6DF1" w:rsidRPr="006A6DF1" w:rsidTr="006A5690">
        <w:trPr>
          <w:trHeight w:val="80"/>
        </w:trPr>
        <w:tc>
          <w:tcPr>
            <w:tcW w:w="642" w:type="dxa"/>
            <w:tcBorders>
              <w:top w:val="nil"/>
              <w:left w:val="nil"/>
              <w:bottom w:val="nil"/>
              <w:right w:val="nil"/>
            </w:tcBorders>
          </w:tcPr>
          <w:p w:rsidR="009235F4" w:rsidRPr="006A6DF1" w:rsidRDefault="009235F4" w:rsidP="00EE70D4">
            <w:pPr>
              <w:jc w:val="both"/>
              <w:rPr>
                <w:rFonts w:ascii="Arial" w:hAnsi="Arial" w:cs="Arial"/>
                <w:color w:val="FF0000"/>
              </w:rPr>
            </w:pPr>
          </w:p>
        </w:tc>
        <w:tc>
          <w:tcPr>
            <w:tcW w:w="805" w:type="dxa"/>
            <w:tcBorders>
              <w:top w:val="nil"/>
              <w:left w:val="nil"/>
              <w:bottom w:val="nil"/>
              <w:right w:val="nil"/>
            </w:tcBorders>
          </w:tcPr>
          <w:p w:rsidR="009235F4" w:rsidRPr="006A6DF1" w:rsidRDefault="009235F4" w:rsidP="00EE70D4">
            <w:pPr>
              <w:jc w:val="both"/>
              <w:rPr>
                <w:rFonts w:ascii="Arial" w:hAnsi="Arial" w:cs="Arial"/>
                <w:color w:val="FF0000"/>
              </w:rPr>
            </w:pPr>
          </w:p>
        </w:tc>
        <w:tc>
          <w:tcPr>
            <w:tcW w:w="984" w:type="dxa"/>
            <w:tcBorders>
              <w:top w:val="nil"/>
              <w:left w:val="nil"/>
              <w:bottom w:val="nil"/>
              <w:right w:val="nil"/>
            </w:tcBorders>
          </w:tcPr>
          <w:p w:rsidR="009235F4" w:rsidRPr="006A6DF1" w:rsidRDefault="009235F4" w:rsidP="006B327F">
            <w:pPr>
              <w:jc w:val="both"/>
              <w:rPr>
                <w:rFonts w:ascii="Arial" w:hAnsi="Arial" w:cs="Arial"/>
                <w:color w:val="FF0000"/>
              </w:rPr>
            </w:pPr>
          </w:p>
        </w:tc>
        <w:tc>
          <w:tcPr>
            <w:tcW w:w="6811" w:type="dxa"/>
            <w:tcBorders>
              <w:top w:val="nil"/>
              <w:left w:val="nil"/>
              <w:bottom w:val="nil"/>
              <w:right w:val="nil"/>
            </w:tcBorders>
          </w:tcPr>
          <w:p w:rsidR="009235F4" w:rsidRPr="006A6DF1" w:rsidRDefault="009235F4" w:rsidP="009235F4">
            <w:pPr>
              <w:jc w:val="both"/>
              <w:rPr>
                <w:rFonts w:ascii="Arial" w:hAnsi="Arial" w:cs="Arial"/>
                <w:color w:val="FF0000"/>
              </w:rPr>
            </w:pPr>
          </w:p>
        </w:tc>
      </w:tr>
      <w:tr w:rsidR="00B36B14" w:rsidRPr="004231B6" w:rsidTr="009235F4">
        <w:tc>
          <w:tcPr>
            <w:tcW w:w="642" w:type="dxa"/>
            <w:tcBorders>
              <w:top w:val="nil"/>
              <w:left w:val="nil"/>
              <w:bottom w:val="nil"/>
              <w:right w:val="nil"/>
            </w:tcBorders>
          </w:tcPr>
          <w:p w:rsidR="00B36B14" w:rsidRPr="004231B6" w:rsidRDefault="00B36B14" w:rsidP="00EE70D4">
            <w:pPr>
              <w:jc w:val="both"/>
              <w:rPr>
                <w:rFonts w:ascii="Arial" w:hAnsi="Arial" w:cs="Arial"/>
              </w:rPr>
            </w:pPr>
          </w:p>
        </w:tc>
        <w:tc>
          <w:tcPr>
            <w:tcW w:w="805" w:type="dxa"/>
            <w:tcBorders>
              <w:top w:val="nil"/>
              <w:left w:val="nil"/>
              <w:bottom w:val="nil"/>
              <w:right w:val="nil"/>
            </w:tcBorders>
          </w:tcPr>
          <w:p w:rsidR="00B36B14" w:rsidRPr="004231B6" w:rsidRDefault="00B926A1" w:rsidP="005461F8">
            <w:pPr>
              <w:jc w:val="both"/>
              <w:rPr>
                <w:rFonts w:ascii="Arial" w:hAnsi="Arial" w:cs="Arial"/>
              </w:rPr>
            </w:pPr>
            <w:r>
              <w:rPr>
                <w:rFonts w:ascii="Arial" w:hAnsi="Arial" w:cs="Arial"/>
              </w:rPr>
              <w:t>8</w:t>
            </w:r>
            <w:r w:rsidR="00B36B14">
              <w:rPr>
                <w:rFonts w:ascii="Arial" w:hAnsi="Arial" w:cs="Arial"/>
              </w:rPr>
              <w:t>.1</w:t>
            </w:r>
            <w:r w:rsidR="005461F8">
              <w:rPr>
                <w:rFonts w:ascii="Arial" w:hAnsi="Arial" w:cs="Arial"/>
              </w:rPr>
              <w:t>0</w:t>
            </w:r>
          </w:p>
        </w:tc>
        <w:tc>
          <w:tcPr>
            <w:tcW w:w="7795" w:type="dxa"/>
            <w:gridSpan w:val="2"/>
            <w:tcBorders>
              <w:top w:val="nil"/>
              <w:left w:val="nil"/>
              <w:bottom w:val="nil"/>
              <w:right w:val="nil"/>
            </w:tcBorders>
          </w:tcPr>
          <w:p w:rsidR="00B36B14" w:rsidRPr="00B36B14" w:rsidRDefault="00B36B14" w:rsidP="00B36B14">
            <w:pPr>
              <w:jc w:val="both"/>
              <w:rPr>
                <w:rFonts w:ascii="Arial" w:hAnsi="Arial" w:cs="Arial"/>
                <w:b/>
              </w:rPr>
            </w:pPr>
            <w:r w:rsidRPr="00B36B14">
              <w:rPr>
                <w:rFonts w:ascii="Arial" w:hAnsi="Arial" w:cs="Arial"/>
                <w:b/>
              </w:rPr>
              <w:t>Exit Process</w:t>
            </w:r>
          </w:p>
          <w:p w:rsidR="00B36B14" w:rsidRPr="00B36B14" w:rsidRDefault="006B327F" w:rsidP="00B36B14">
            <w:pPr>
              <w:jc w:val="both"/>
              <w:rPr>
                <w:rFonts w:ascii="Arial" w:hAnsi="Arial" w:cs="Arial"/>
              </w:rPr>
            </w:pPr>
            <w:r>
              <w:rPr>
                <w:rFonts w:ascii="Arial" w:hAnsi="Arial" w:cs="Arial"/>
              </w:rPr>
              <w:t>F</w:t>
            </w:r>
            <w:r w:rsidR="00B36B14" w:rsidRPr="00B36B14">
              <w:rPr>
                <w:rFonts w:ascii="Arial" w:hAnsi="Arial" w:cs="Arial"/>
              </w:rPr>
              <w:t>ollowing notification of a decision to decommission</w:t>
            </w:r>
            <w:r>
              <w:rPr>
                <w:rFonts w:ascii="Arial" w:hAnsi="Arial" w:cs="Arial"/>
              </w:rPr>
              <w:t>, in accordance with the NHS Standard Contract a</w:t>
            </w:r>
            <w:r w:rsidRPr="006B327F">
              <w:rPr>
                <w:rFonts w:ascii="Arial" w:hAnsi="Arial" w:cs="Arial"/>
              </w:rPr>
              <w:t>n exit strategy and plan will be negotiated and agreed for each relevant service regarding each decommissioning decision with a clear agreement on how each risk is to be managed between the parties.</w:t>
            </w:r>
          </w:p>
          <w:p w:rsidR="00B36B14" w:rsidRPr="006E6E0E" w:rsidRDefault="00B36B14" w:rsidP="006A6DF1">
            <w:pPr>
              <w:jc w:val="both"/>
              <w:rPr>
                <w:rFonts w:ascii="Arial" w:hAnsi="Arial" w:cs="Arial"/>
              </w:rPr>
            </w:pPr>
          </w:p>
        </w:tc>
      </w:tr>
      <w:tr w:rsidR="00B36B14" w:rsidRPr="004231B6" w:rsidTr="00EE70D4">
        <w:tc>
          <w:tcPr>
            <w:tcW w:w="642" w:type="dxa"/>
            <w:tcBorders>
              <w:top w:val="nil"/>
              <w:left w:val="nil"/>
              <w:bottom w:val="nil"/>
              <w:right w:val="nil"/>
            </w:tcBorders>
          </w:tcPr>
          <w:p w:rsidR="00B36B14" w:rsidRPr="004231B6" w:rsidRDefault="00B36B14" w:rsidP="00EE70D4">
            <w:pPr>
              <w:jc w:val="both"/>
              <w:rPr>
                <w:rFonts w:ascii="Arial" w:hAnsi="Arial" w:cs="Arial"/>
              </w:rPr>
            </w:pPr>
          </w:p>
        </w:tc>
        <w:tc>
          <w:tcPr>
            <w:tcW w:w="805" w:type="dxa"/>
            <w:tcBorders>
              <w:top w:val="nil"/>
              <w:left w:val="nil"/>
              <w:bottom w:val="nil"/>
              <w:right w:val="nil"/>
            </w:tcBorders>
          </w:tcPr>
          <w:p w:rsidR="00B36B14" w:rsidRPr="004231B6" w:rsidRDefault="00B36B14" w:rsidP="00EE70D4">
            <w:pPr>
              <w:jc w:val="both"/>
              <w:rPr>
                <w:rFonts w:ascii="Arial" w:hAnsi="Arial" w:cs="Arial"/>
              </w:rPr>
            </w:pPr>
          </w:p>
        </w:tc>
        <w:tc>
          <w:tcPr>
            <w:tcW w:w="984" w:type="dxa"/>
            <w:tcBorders>
              <w:top w:val="nil"/>
              <w:left w:val="nil"/>
              <w:bottom w:val="nil"/>
              <w:right w:val="nil"/>
            </w:tcBorders>
          </w:tcPr>
          <w:p w:rsidR="00B36B14" w:rsidRDefault="00B926A1" w:rsidP="005461F8">
            <w:pPr>
              <w:jc w:val="both"/>
              <w:rPr>
                <w:rFonts w:ascii="Arial" w:hAnsi="Arial" w:cs="Arial"/>
              </w:rPr>
            </w:pPr>
            <w:r>
              <w:rPr>
                <w:rFonts w:ascii="Arial" w:hAnsi="Arial" w:cs="Arial"/>
              </w:rPr>
              <w:t>8</w:t>
            </w:r>
            <w:r w:rsidR="006A6DF1">
              <w:rPr>
                <w:rFonts w:ascii="Arial" w:hAnsi="Arial" w:cs="Arial"/>
              </w:rPr>
              <w:t>.1</w:t>
            </w:r>
            <w:r w:rsidR="005461F8">
              <w:rPr>
                <w:rFonts w:ascii="Arial" w:hAnsi="Arial" w:cs="Arial"/>
              </w:rPr>
              <w:t>0</w:t>
            </w:r>
            <w:r w:rsidR="006A6DF1">
              <w:rPr>
                <w:rFonts w:ascii="Arial" w:hAnsi="Arial" w:cs="Arial"/>
              </w:rPr>
              <w:t>.1</w:t>
            </w:r>
          </w:p>
        </w:tc>
        <w:tc>
          <w:tcPr>
            <w:tcW w:w="6811" w:type="dxa"/>
            <w:tcBorders>
              <w:top w:val="nil"/>
              <w:left w:val="nil"/>
              <w:bottom w:val="nil"/>
              <w:right w:val="nil"/>
            </w:tcBorders>
          </w:tcPr>
          <w:p w:rsidR="006A6DF1" w:rsidRPr="006A6DF1" w:rsidRDefault="006B327F" w:rsidP="006A6DF1">
            <w:pPr>
              <w:jc w:val="both"/>
              <w:rPr>
                <w:rFonts w:ascii="Arial" w:hAnsi="Arial" w:cs="Arial"/>
              </w:rPr>
            </w:pPr>
            <w:r>
              <w:rPr>
                <w:rFonts w:ascii="Arial" w:hAnsi="Arial" w:cs="Arial"/>
              </w:rPr>
              <w:t>An Exit Strategy or Plan will be developed covering a</w:t>
            </w:r>
            <w:r w:rsidR="006A6DF1">
              <w:rPr>
                <w:rFonts w:ascii="Arial" w:hAnsi="Arial" w:cs="Arial"/>
              </w:rPr>
              <w:t xml:space="preserve">s </w:t>
            </w:r>
            <w:r w:rsidR="006A6DF1" w:rsidRPr="006A6DF1">
              <w:rPr>
                <w:rFonts w:ascii="Arial" w:hAnsi="Arial" w:cs="Arial"/>
              </w:rPr>
              <w:t>a minimum</w:t>
            </w:r>
            <w:r w:rsidR="006A6DF1">
              <w:rPr>
                <w:rFonts w:ascii="Arial" w:hAnsi="Arial" w:cs="Arial"/>
              </w:rPr>
              <w:t>:</w:t>
            </w:r>
          </w:p>
          <w:p w:rsidR="006A6DF1" w:rsidRDefault="006A6DF1" w:rsidP="00EA08AA">
            <w:pPr>
              <w:pStyle w:val="ListParagraph"/>
              <w:numPr>
                <w:ilvl w:val="0"/>
                <w:numId w:val="17"/>
              </w:numPr>
              <w:jc w:val="both"/>
              <w:rPr>
                <w:rFonts w:ascii="Arial" w:hAnsi="Arial" w:cs="Arial"/>
              </w:rPr>
            </w:pPr>
            <w:r w:rsidRPr="006A6DF1">
              <w:rPr>
                <w:rFonts w:ascii="Arial" w:hAnsi="Arial" w:cs="Arial"/>
              </w:rPr>
              <w:t>Patient continuity of care</w:t>
            </w:r>
          </w:p>
          <w:p w:rsidR="006A6DF1" w:rsidRDefault="006A6DF1" w:rsidP="00EA08AA">
            <w:pPr>
              <w:pStyle w:val="ListParagraph"/>
              <w:numPr>
                <w:ilvl w:val="0"/>
                <w:numId w:val="17"/>
              </w:numPr>
              <w:jc w:val="both"/>
              <w:rPr>
                <w:rFonts w:ascii="Arial" w:hAnsi="Arial" w:cs="Arial"/>
              </w:rPr>
            </w:pPr>
            <w:r w:rsidRPr="006A6DF1">
              <w:rPr>
                <w:rFonts w:ascii="Arial" w:hAnsi="Arial" w:cs="Arial"/>
              </w:rPr>
              <w:t>Patient records(If applicable)</w:t>
            </w:r>
          </w:p>
          <w:p w:rsidR="006A6DF1" w:rsidRDefault="006A6DF1" w:rsidP="00EA08AA">
            <w:pPr>
              <w:pStyle w:val="ListParagraph"/>
              <w:numPr>
                <w:ilvl w:val="0"/>
                <w:numId w:val="17"/>
              </w:numPr>
              <w:jc w:val="both"/>
              <w:rPr>
                <w:rFonts w:ascii="Arial" w:hAnsi="Arial" w:cs="Arial"/>
              </w:rPr>
            </w:pPr>
            <w:r w:rsidRPr="006A6DF1">
              <w:rPr>
                <w:rFonts w:ascii="Arial" w:hAnsi="Arial" w:cs="Arial"/>
              </w:rPr>
              <w:t>Staff</w:t>
            </w:r>
            <w:r w:rsidR="00890C23">
              <w:rPr>
                <w:rFonts w:ascii="Arial" w:hAnsi="Arial" w:cs="Arial"/>
              </w:rPr>
              <w:t xml:space="preserve"> considerations </w:t>
            </w:r>
            <w:r w:rsidR="00B92821">
              <w:rPr>
                <w:rFonts w:ascii="Arial" w:hAnsi="Arial" w:cs="Arial"/>
              </w:rPr>
              <w:t>e.g.</w:t>
            </w:r>
            <w:r w:rsidR="00890C23">
              <w:rPr>
                <w:rFonts w:ascii="Arial" w:hAnsi="Arial" w:cs="Arial"/>
              </w:rPr>
              <w:t xml:space="preserve"> TUPE</w:t>
            </w:r>
          </w:p>
          <w:p w:rsidR="006A6DF1" w:rsidRDefault="006A6DF1" w:rsidP="00EA08AA">
            <w:pPr>
              <w:pStyle w:val="ListParagraph"/>
              <w:numPr>
                <w:ilvl w:val="0"/>
                <w:numId w:val="17"/>
              </w:numPr>
              <w:jc w:val="both"/>
              <w:rPr>
                <w:rFonts w:ascii="Arial" w:hAnsi="Arial" w:cs="Arial"/>
              </w:rPr>
            </w:pPr>
            <w:r w:rsidRPr="006A6DF1">
              <w:rPr>
                <w:rFonts w:ascii="Arial" w:hAnsi="Arial" w:cs="Arial"/>
              </w:rPr>
              <w:t>Estate</w:t>
            </w:r>
            <w:r w:rsidR="00890C23">
              <w:rPr>
                <w:rFonts w:ascii="Arial" w:hAnsi="Arial" w:cs="Arial"/>
              </w:rPr>
              <w:t xml:space="preserve"> </w:t>
            </w:r>
            <w:r w:rsidR="00B92821">
              <w:rPr>
                <w:rFonts w:ascii="Arial" w:hAnsi="Arial" w:cs="Arial"/>
              </w:rPr>
              <w:t>e.g.</w:t>
            </w:r>
            <w:r w:rsidR="00890C23">
              <w:rPr>
                <w:rFonts w:ascii="Arial" w:hAnsi="Arial" w:cs="Arial"/>
              </w:rPr>
              <w:t xml:space="preserve"> freehold, leasehold transfers</w:t>
            </w:r>
          </w:p>
          <w:p w:rsidR="006A6DF1" w:rsidRDefault="006A6DF1" w:rsidP="00EA08AA">
            <w:pPr>
              <w:pStyle w:val="ListParagraph"/>
              <w:numPr>
                <w:ilvl w:val="0"/>
                <w:numId w:val="17"/>
              </w:numPr>
              <w:jc w:val="both"/>
              <w:rPr>
                <w:rFonts w:ascii="Arial" w:hAnsi="Arial" w:cs="Arial"/>
              </w:rPr>
            </w:pPr>
            <w:r w:rsidRPr="006A6DF1">
              <w:rPr>
                <w:rFonts w:ascii="Arial" w:hAnsi="Arial" w:cs="Arial"/>
              </w:rPr>
              <w:t>Equipment</w:t>
            </w:r>
          </w:p>
          <w:p w:rsidR="00B36B14" w:rsidRDefault="006A6DF1" w:rsidP="00EA08AA">
            <w:pPr>
              <w:pStyle w:val="ListParagraph"/>
              <w:numPr>
                <w:ilvl w:val="0"/>
                <w:numId w:val="17"/>
              </w:numPr>
              <w:jc w:val="both"/>
              <w:rPr>
                <w:rFonts w:ascii="Arial" w:hAnsi="Arial" w:cs="Arial"/>
              </w:rPr>
            </w:pPr>
            <w:r w:rsidRPr="006A6DF1">
              <w:rPr>
                <w:rFonts w:ascii="Arial" w:hAnsi="Arial" w:cs="Arial"/>
              </w:rPr>
              <w:t>Stock (where funded by the commission</w:t>
            </w:r>
            <w:r>
              <w:rPr>
                <w:rFonts w:ascii="Arial" w:hAnsi="Arial" w:cs="Arial"/>
              </w:rPr>
              <w:t>er).</w:t>
            </w:r>
          </w:p>
          <w:p w:rsidR="006A6DF1" w:rsidRPr="006A6DF1" w:rsidRDefault="006A6DF1" w:rsidP="006A6DF1">
            <w:pPr>
              <w:pStyle w:val="ListParagraph"/>
              <w:jc w:val="both"/>
              <w:rPr>
                <w:rFonts w:ascii="Arial" w:hAnsi="Arial" w:cs="Arial"/>
              </w:rPr>
            </w:pPr>
          </w:p>
        </w:tc>
      </w:tr>
      <w:tr w:rsidR="00B36B14" w:rsidRPr="004231B6" w:rsidTr="00EE70D4">
        <w:tc>
          <w:tcPr>
            <w:tcW w:w="642" w:type="dxa"/>
            <w:tcBorders>
              <w:top w:val="nil"/>
              <w:left w:val="nil"/>
              <w:bottom w:val="nil"/>
              <w:right w:val="nil"/>
            </w:tcBorders>
          </w:tcPr>
          <w:p w:rsidR="00B36B14" w:rsidRPr="004231B6" w:rsidRDefault="00B36B14" w:rsidP="00EE70D4">
            <w:pPr>
              <w:jc w:val="both"/>
              <w:rPr>
                <w:rFonts w:ascii="Arial" w:hAnsi="Arial" w:cs="Arial"/>
              </w:rPr>
            </w:pPr>
          </w:p>
        </w:tc>
        <w:tc>
          <w:tcPr>
            <w:tcW w:w="805" w:type="dxa"/>
            <w:tcBorders>
              <w:top w:val="nil"/>
              <w:left w:val="nil"/>
              <w:bottom w:val="nil"/>
              <w:right w:val="nil"/>
            </w:tcBorders>
          </w:tcPr>
          <w:p w:rsidR="00B36B14" w:rsidRPr="004231B6" w:rsidRDefault="00B36B14" w:rsidP="00EE70D4">
            <w:pPr>
              <w:jc w:val="both"/>
              <w:rPr>
                <w:rFonts w:ascii="Arial" w:hAnsi="Arial" w:cs="Arial"/>
              </w:rPr>
            </w:pPr>
          </w:p>
        </w:tc>
        <w:tc>
          <w:tcPr>
            <w:tcW w:w="984" w:type="dxa"/>
            <w:tcBorders>
              <w:top w:val="nil"/>
              <w:left w:val="nil"/>
              <w:bottom w:val="nil"/>
              <w:right w:val="nil"/>
            </w:tcBorders>
          </w:tcPr>
          <w:p w:rsidR="00B36B14" w:rsidRDefault="00B926A1" w:rsidP="00890C23">
            <w:pPr>
              <w:jc w:val="both"/>
              <w:rPr>
                <w:rFonts w:ascii="Arial" w:hAnsi="Arial" w:cs="Arial"/>
              </w:rPr>
            </w:pPr>
            <w:r>
              <w:rPr>
                <w:rFonts w:ascii="Arial" w:hAnsi="Arial" w:cs="Arial"/>
              </w:rPr>
              <w:t>8</w:t>
            </w:r>
            <w:r w:rsidR="006A6DF1">
              <w:rPr>
                <w:rFonts w:ascii="Arial" w:hAnsi="Arial" w:cs="Arial"/>
              </w:rPr>
              <w:t>.1</w:t>
            </w:r>
            <w:r w:rsidR="005461F8">
              <w:rPr>
                <w:rFonts w:ascii="Arial" w:hAnsi="Arial" w:cs="Arial"/>
              </w:rPr>
              <w:t>0</w:t>
            </w:r>
            <w:r w:rsidR="006A6DF1">
              <w:rPr>
                <w:rFonts w:ascii="Arial" w:hAnsi="Arial" w:cs="Arial"/>
              </w:rPr>
              <w:t>.2</w:t>
            </w:r>
          </w:p>
        </w:tc>
        <w:tc>
          <w:tcPr>
            <w:tcW w:w="6811" w:type="dxa"/>
            <w:tcBorders>
              <w:top w:val="nil"/>
              <w:left w:val="nil"/>
              <w:bottom w:val="nil"/>
              <w:right w:val="nil"/>
            </w:tcBorders>
          </w:tcPr>
          <w:p w:rsidR="00B36B14" w:rsidRDefault="006A6DF1" w:rsidP="006E6E0E">
            <w:pPr>
              <w:jc w:val="both"/>
              <w:rPr>
                <w:rFonts w:ascii="Arial" w:hAnsi="Arial" w:cs="Arial"/>
              </w:rPr>
            </w:pPr>
            <w:r w:rsidRPr="006A6DF1">
              <w:rPr>
                <w:rFonts w:ascii="Arial" w:hAnsi="Arial" w:cs="Arial"/>
              </w:rPr>
              <w:t xml:space="preserve">The </w:t>
            </w:r>
            <w:r w:rsidR="0076052E">
              <w:rPr>
                <w:rFonts w:ascii="Arial" w:hAnsi="Arial" w:cs="Arial"/>
              </w:rPr>
              <w:t xml:space="preserve">CCG </w:t>
            </w:r>
            <w:r w:rsidRPr="006A6DF1">
              <w:rPr>
                <w:rFonts w:ascii="Arial" w:hAnsi="Arial" w:cs="Arial"/>
              </w:rPr>
              <w:t>will ensure mechanisms are in place where, in conjunction with the provider, execution of the exit plan is actively managed.</w:t>
            </w:r>
          </w:p>
          <w:p w:rsidR="00B945F3" w:rsidRPr="006E6E0E" w:rsidRDefault="00B945F3" w:rsidP="006E6E0E">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B926A1" w:rsidP="0051083D">
            <w:pPr>
              <w:jc w:val="both"/>
              <w:rPr>
                <w:rFonts w:ascii="Arial" w:hAnsi="Arial" w:cs="Arial"/>
                <w:b/>
              </w:rPr>
            </w:pPr>
            <w:r>
              <w:rPr>
                <w:rFonts w:ascii="Arial" w:hAnsi="Arial" w:cs="Arial"/>
                <w:b/>
              </w:rPr>
              <w:t>9</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Monitoring the Compliance and Effectiveness of this Policy</w:t>
            </w:r>
          </w:p>
          <w:p w:rsidR="008A50B0" w:rsidRPr="004231B6" w:rsidRDefault="008A50B0" w:rsidP="0051083D">
            <w:pPr>
              <w:jc w:val="both"/>
              <w:rPr>
                <w:rFonts w:ascii="Arial" w:hAnsi="Arial" w:cs="Arial"/>
                <w:b/>
              </w:rPr>
            </w:pPr>
          </w:p>
        </w:tc>
      </w:tr>
      <w:tr w:rsidR="006A6DF1" w:rsidRPr="004231B6">
        <w:tc>
          <w:tcPr>
            <w:tcW w:w="642" w:type="dxa"/>
            <w:tcBorders>
              <w:top w:val="nil"/>
              <w:left w:val="nil"/>
              <w:bottom w:val="nil"/>
              <w:right w:val="nil"/>
            </w:tcBorders>
          </w:tcPr>
          <w:p w:rsidR="006A6DF1" w:rsidRPr="004231B6" w:rsidRDefault="006A6DF1" w:rsidP="0051083D">
            <w:pPr>
              <w:jc w:val="both"/>
              <w:rPr>
                <w:rFonts w:ascii="Arial" w:hAnsi="Arial" w:cs="Arial"/>
              </w:rPr>
            </w:pPr>
          </w:p>
        </w:tc>
        <w:tc>
          <w:tcPr>
            <w:tcW w:w="805" w:type="dxa"/>
            <w:tcBorders>
              <w:top w:val="nil"/>
              <w:left w:val="nil"/>
              <w:bottom w:val="nil"/>
              <w:right w:val="nil"/>
            </w:tcBorders>
          </w:tcPr>
          <w:p w:rsidR="006A6DF1" w:rsidRPr="004231B6" w:rsidRDefault="00B926A1" w:rsidP="0051083D">
            <w:pPr>
              <w:jc w:val="both"/>
              <w:rPr>
                <w:rFonts w:ascii="Arial" w:hAnsi="Arial" w:cs="Arial"/>
              </w:rPr>
            </w:pPr>
            <w:r>
              <w:rPr>
                <w:rFonts w:ascii="Arial" w:hAnsi="Arial" w:cs="Arial"/>
              </w:rPr>
              <w:t>9</w:t>
            </w:r>
            <w:r w:rsidR="006A6DF1">
              <w:rPr>
                <w:rFonts w:ascii="Arial" w:hAnsi="Arial" w:cs="Arial"/>
              </w:rPr>
              <w:t>.1</w:t>
            </w:r>
          </w:p>
        </w:tc>
        <w:tc>
          <w:tcPr>
            <w:tcW w:w="7795" w:type="dxa"/>
            <w:gridSpan w:val="2"/>
            <w:tcBorders>
              <w:top w:val="nil"/>
              <w:left w:val="nil"/>
              <w:bottom w:val="nil"/>
              <w:right w:val="nil"/>
            </w:tcBorders>
          </w:tcPr>
          <w:p w:rsidR="006A6DF1" w:rsidRDefault="009B216F" w:rsidP="0051083D">
            <w:pPr>
              <w:jc w:val="both"/>
              <w:rPr>
                <w:rFonts w:ascii="Arial" w:hAnsi="Arial" w:cs="Arial"/>
              </w:rPr>
            </w:pPr>
            <w:r>
              <w:rPr>
                <w:rFonts w:ascii="Arial" w:hAnsi="Arial" w:cs="Arial"/>
              </w:rPr>
              <w:t xml:space="preserve">The </w:t>
            </w:r>
            <w:r w:rsidR="002E4C4F">
              <w:rPr>
                <w:rFonts w:ascii="Arial" w:hAnsi="Arial" w:cs="Arial"/>
              </w:rPr>
              <w:t xml:space="preserve">QIPP Delivery Group </w:t>
            </w:r>
            <w:r>
              <w:rPr>
                <w:rFonts w:ascii="Arial" w:hAnsi="Arial" w:cs="Arial"/>
              </w:rPr>
              <w:t>has responsibility</w:t>
            </w:r>
            <w:r w:rsidR="006A6DF1">
              <w:rPr>
                <w:rFonts w:ascii="Arial" w:hAnsi="Arial" w:cs="Arial"/>
              </w:rPr>
              <w:t>, through the CCG’s programme management arrangements, for ensuring that the Policy is adhered to where a proposal to decommission a service is brought forward.</w:t>
            </w:r>
            <w:r>
              <w:rPr>
                <w:rFonts w:ascii="Arial" w:hAnsi="Arial" w:cs="Arial"/>
              </w:rPr>
              <w:t xml:space="preserve"> Oversight of the process will be through the QIPP </w:t>
            </w:r>
            <w:r w:rsidR="00F679B5">
              <w:rPr>
                <w:rFonts w:ascii="Arial" w:hAnsi="Arial" w:cs="Arial"/>
              </w:rPr>
              <w:t>D</w:t>
            </w:r>
            <w:r>
              <w:rPr>
                <w:rFonts w:ascii="Arial" w:hAnsi="Arial" w:cs="Arial"/>
              </w:rPr>
              <w:t>elivery Group and Finance &amp; Performance Committee.</w:t>
            </w:r>
            <w:r w:rsidR="0076052E">
              <w:rPr>
                <w:rFonts w:ascii="Arial" w:hAnsi="Arial" w:cs="Arial"/>
              </w:rPr>
              <w:t xml:space="preserve"> The Equality and Engagement Committee has oversight of the patient and public engagement elements of any reviews.</w:t>
            </w:r>
          </w:p>
          <w:p w:rsidR="006A6DF1" w:rsidRDefault="006A6DF1" w:rsidP="0051083D">
            <w:pPr>
              <w:jc w:val="both"/>
              <w:rPr>
                <w:rFonts w:ascii="Arial" w:hAnsi="Arial" w:cs="Arial"/>
              </w:rPr>
            </w:pPr>
          </w:p>
          <w:p w:rsidR="0076682A" w:rsidRDefault="0076682A" w:rsidP="0051083D">
            <w:pPr>
              <w:jc w:val="both"/>
              <w:rPr>
                <w:rFonts w:ascii="Arial" w:hAnsi="Arial" w:cs="Arial"/>
              </w:rPr>
            </w:pPr>
          </w:p>
          <w:p w:rsidR="005E4CFA" w:rsidRDefault="005E4CFA" w:rsidP="0051083D">
            <w:pPr>
              <w:jc w:val="both"/>
              <w:rPr>
                <w:rFonts w:ascii="Arial" w:hAnsi="Arial" w:cs="Arial"/>
              </w:rPr>
            </w:pPr>
          </w:p>
          <w:p w:rsidR="005E4CFA" w:rsidRDefault="005E4CFA" w:rsidP="0051083D">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B926A1" w:rsidP="00F56BB9">
            <w:pPr>
              <w:jc w:val="both"/>
              <w:rPr>
                <w:rFonts w:ascii="Arial" w:hAnsi="Arial" w:cs="Arial"/>
                <w:b/>
              </w:rPr>
            </w:pPr>
            <w:r>
              <w:rPr>
                <w:rFonts w:ascii="Arial" w:hAnsi="Arial" w:cs="Arial"/>
                <w:b/>
              </w:rPr>
              <w:lastRenderedPageBreak/>
              <w:t>10</w:t>
            </w:r>
            <w:r w:rsidR="008A50B0" w:rsidRPr="004231B6">
              <w:rPr>
                <w:rFonts w:ascii="Arial" w:hAnsi="Arial" w:cs="Arial"/>
                <w:b/>
              </w:rPr>
              <w:t>.</w:t>
            </w:r>
          </w:p>
        </w:tc>
        <w:tc>
          <w:tcPr>
            <w:tcW w:w="8600" w:type="dxa"/>
            <w:gridSpan w:val="3"/>
            <w:tcBorders>
              <w:top w:val="nil"/>
              <w:left w:val="nil"/>
              <w:bottom w:val="nil"/>
              <w:right w:val="nil"/>
            </w:tcBorders>
          </w:tcPr>
          <w:p w:rsidR="008A50B0" w:rsidRPr="004231B6" w:rsidRDefault="008A50B0" w:rsidP="00F56BB9">
            <w:pPr>
              <w:jc w:val="both"/>
              <w:rPr>
                <w:rFonts w:ascii="Arial" w:hAnsi="Arial" w:cs="Arial"/>
                <w:b/>
              </w:rPr>
            </w:pPr>
            <w:r w:rsidRPr="004231B6">
              <w:rPr>
                <w:rFonts w:ascii="Arial" w:hAnsi="Arial" w:cs="Arial"/>
                <w:b/>
              </w:rPr>
              <w:t>Review of the Policy</w:t>
            </w:r>
          </w:p>
          <w:p w:rsidR="00943720" w:rsidRPr="004231B6" w:rsidRDefault="00943720" w:rsidP="00F56BB9">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B926A1">
            <w:pPr>
              <w:jc w:val="both"/>
              <w:rPr>
                <w:rFonts w:ascii="Arial" w:hAnsi="Arial" w:cs="Arial"/>
              </w:rPr>
            </w:pPr>
            <w:r w:rsidRPr="004231B6">
              <w:rPr>
                <w:rFonts w:ascii="Arial" w:hAnsi="Arial" w:cs="Arial"/>
              </w:rPr>
              <w:t>1</w:t>
            </w:r>
            <w:r w:rsidR="00B926A1">
              <w:rPr>
                <w:rFonts w:ascii="Arial" w:hAnsi="Arial" w:cs="Arial"/>
              </w:rPr>
              <w:t>0</w:t>
            </w:r>
            <w:r w:rsidRPr="004231B6">
              <w:rPr>
                <w:rFonts w:ascii="Arial" w:hAnsi="Arial" w:cs="Arial"/>
              </w:rPr>
              <w:t>.1</w:t>
            </w:r>
          </w:p>
        </w:tc>
        <w:tc>
          <w:tcPr>
            <w:tcW w:w="7795" w:type="dxa"/>
            <w:gridSpan w:val="2"/>
            <w:tcBorders>
              <w:top w:val="nil"/>
              <w:left w:val="nil"/>
              <w:bottom w:val="nil"/>
              <w:right w:val="nil"/>
            </w:tcBorders>
          </w:tcPr>
          <w:p w:rsidR="008A50B0" w:rsidRPr="004231B6" w:rsidRDefault="006A6DF1" w:rsidP="00F56BB9">
            <w:pPr>
              <w:jc w:val="both"/>
              <w:rPr>
                <w:rFonts w:ascii="Arial" w:hAnsi="Arial" w:cs="Arial"/>
              </w:rPr>
            </w:pPr>
            <w:r>
              <w:rPr>
                <w:rFonts w:ascii="Arial" w:hAnsi="Arial" w:cs="Arial"/>
              </w:rPr>
              <w:t>This policy will be approved by the Governing Body in the first instance. It will be reviewed at least every 2 years in accordance with CCG standard practice, or more frequently where necessary</w:t>
            </w:r>
            <w:r w:rsidR="009B216F">
              <w:t xml:space="preserve"> </w:t>
            </w:r>
            <w:r w:rsidR="009B216F" w:rsidRPr="009B216F">
              <w:rPr>
                <w:rFonts w:ascii="Arial" w:hAnsi="Arial" w:cs="Arial"/>
              </w:rPr>
              <w:t>to meet legal statutory or good practice standards.</w:t>
            </w:r>
            <w:r w:rsidR="009B216F">
              <w:rPr>
                <w:rFonts w:ascii="Arial" w:hAnsi="Arial" w:cs="Arial"/>
              </w:rPr>
              <w:t xml:space="preserve"> </w:t>
            </w:r>
            <w:r>
              <w:rPr>
                <w:rFonts w:ascii="Arial" w:hAnsi="Arial" w:cs="Arial"/>
              </w:rPr>
              <w:t>The review process will be led by the P</w:t>
            </w:r>
            <w:r w:rsidR="0076052E">
              <w:rPr>
                <w:rFonts w:ascii="Arial" w:hAnsi="Arial" w:cs="Arial"/>
              </w:rPr>
              <w:t xml:space="preserve">rogramme </w:t>
            </w:r>
            <w:r>
              <w:rPr>
                <w:rFonts w:ascii="Arial" w:hAnsi="Arial" w:cs="Arial"/>
              </w:rPr>
              <w:t>M</w:t>
            </w:r>
            <w:r w:rsidR="0076052E">
              <w:rPr>
                <w:rFonts w:ascii="Arial" w:hAnsi="Arial" w:cs="Arial"/>
              </w:rPr>
              <w:t xml:space="preserve">anagement </w:t>
            </w:r>
            <w:r>
              <w:rPr>
                <w:rFonts w:ascii="Arial" w:hAnsi="Arial" w:cs="Arial"/>
              </w:rPr>
              <w:t>O</w:t>
            </w:r>
            <w:r w:rsidR="0076052E">
              <w:rPr>
                <w:rFonts w:ascii="Arial" w:hAnsi="Arial" w:cs="Arial"/>
              </w:rPr>
              <w:t>ffice (PMO)</w:t>
            </w:r>
            <w:r>
              <w:rPr>
                <w:rFonts w:ascii="Arial" w:hAnsi="Arial" w:cs="Arial"/>
              </w:rPr>
              <w:t xml:space="preserve"> drawing on other relevant CCG staff as necessary. Minor amendments can be signed off by Finance and Performance Committee, but more major amendments will need to go back to Governing Body for ratification.</w:t>
            </w:r>
          </w:p>
          <w:p w:rsidR="008A50B0" w:rsidRPr="004231B6" w:rsidRDefault="008A50B0" w:rsidP="00F56BB9">
            <w:pPr>
              <w:jc w:val="both"/>
              <w:rPr>
                <w:rFonts w:ascii="Arial" w:hAnsi="Arial" w:cs="Arial"/>
              </w:rPr>
            </w:pPr>
          </w:p>
        </w:tc>
      </w:tr>
    </w:tbl>
    <w:p w:rsidR="004A21C1" w:rsidRDefault="004A21C1">
      <w:pPr>
        <w:rPr>
          <w:rFonts w:ascii="Arial" w:hAnsi="Arial" w:cs="Arial"/>
        </w:rPr>
      </w:pPr>
    </w:p>
    <w:p w:rsidR="004A21C1" w:rsidRDefault="004A21C1">
      <w:pPr>
        <w:rPr>
          <w:rFonts w:ascii="Arial" w:hAnsi="Arial" w:cs="Arial"/>
        </w:rPr>
      </w:pPr>
      <w:r>
        <w:rPr>
          <w:rFonts w:ascii="Arial" w:hAnsi="Arial" w:cs="Arial"/>
        </w:rPr>
        <w:br w:type="page"/>
      </w:r>
    </w:p>
    <w:p w:rsidR="004A21C1" w:rsidRDefault="004A21C1" w:rsidP="004A21C1">
      <w:pPr>
        <w:pStyle w:val="NoSpacing"/>
        <w:jc w:val="right"/>
        <w:rPr>
          <w:rFonts w:ascii="Arial" w:hAnsi="Arial" w:cs="Arial"/>
          <w:b/>
          <w:sz w:val="24"/>
        </w:rPr>
      </w:pPr>
      <w:r>
        <w:rPr>
          <w:rFonts w:ascii="Arial" w:hAnsi="Arial" w:cs="Arial"/>
          <w:b/>
          <w:sz w:val="24"/>
        </w:rPr>
        <w:lastRenderedPageBreak/>
        <w:t>Appendix 1</w:t>
      </w:r>
    </w:p>
    <w:p w:rsidR="004A21C1" w:rsidRDefault="004A21C1" w:rsidP="004A21C1">
      <w:pPr>
        <w:pStyle w:val="NoSpacing"/>
        <w:rPr>
          <w:rFonts w:ascii="Arial" w:hAnsi="Arial" w:cs="Arial"/>
          <w:b/>
          <w:sz w:val="24"/>
        </w:rPr>
      </w:pPr>
    </w:p>
    <w:p w:rsidR="004A21C1" w:rsidRPr="000D5538" w:rsidRDefault="004A21C1" w:rsidP="004A21C1">
      <w:pPr>
        <w:pStyle w:val="NoSpacing"/>
        <w:jc w:val="center"/>
        <w:rPr>
          <w:rFonts w:ascii="Arial" w:hAnsi="Arial" w:cs="Arial"/>
          <w:b/>
          <w:sz w:val="24"/>
        </w:rPr>
      </w:pPr>
      <w:r>
        <w:rPr>
          <w:rFonts w:ascii="Arial" w:hAnsi="Arial" w:cs="Arial"/>
          <w:b/>
          <w:sz w:val="24"/>
        </w:rPr>
        <w:t xml:space="preserve">Summary </w:t>
      </w:r>
      <w:r w:rsidRPr="000D5538">
        <w:rPr>
          <w:rFonts w:ascii="Arial" w:hAnsi="Arial" w:cs="Arial"/>
          <w:b/>
          <w:sz w:val="24"/>
        </w:rPr>
        <w:t>Decommissioning Decision Framework</w:t>
      </w:r>
    </w:p>
    <w:p w:rsidR="004A21C1" w:rsidRDefault="004A21C1" w:rsidP="004A21C1">
      <w:pPr>
        <w:pStyle w:val="NoSpacing"/>
        <w:rPr>
          <w:rFonts w:ascii="Arial" w:hAnsi="Arial" w:cs="Arial"/>
          <w:sz w:val="24"/>
        </w:rPr>
      </w:pPr>
    </w:p>
    <w:p w:rsidR="004A21C1" w:rsidRDefault="004A21C1" w:rsidP="004A21C1">
      <w:pPr>
        <w:pStyle w:val="NoSpacing"/>
        <w:rPr>
          <w:rFonts w:ascii="Arial" w:hAnsi="Arial" w:cs="Arial"/>
          <w:sz w:val="24"/>
        </w:rPr>
      </w:pPr>
    </w:p>
    <w:p w:rsidR="004A21C1" w:rsidRDefault="004A21C1" w:rsidP="004A21C1">
      <w:pPr>
        <w:pStyle w:val="NoSpacing"/>
        <w:rPr>
          <w:rFonts w:ascii="Arial" w:hAnsi="Arial" w:cs="Arial"/>
          <w:sz w:val="24"/>
        </w:rPr>
      </w:pPr>
      <w:r>
        <w:rPr>
          <w:rFonts w:ascii="Arial" w:hAnsi="Arial" w:cs="Arial"/>
          <w:sz w:val="24"/>
        </w:rPr>
        <w:t>Following a service review and preparation of impact assessments and business cases as appropriate in line with the procedure set out in Section 8 of the NHS Barnsley CCG Decommissioning Policy the Governing Body may be asked to consider decommissioning a service.</w:t>
      </w:r>
    </w:p>
    <w:p w:rsidR="004A21C1" w:rsidRDefault="004A21C1" w:rsidP="004A21C1">
      <w:pPr>
        <w:pStyle w:val="NoSpacing"/>
        <w:rPr>
          <w:rFonts w:ascii="Arial" w:hAnsi="Arial" w:cs="Arial"/>
          <w:sz w:val="24"/>
        </w:rPr>
      </w:pPr>
    </w:p>
    <w:p w:rsidR="004A21C1" w:rsidRDefault="004A21C1" w:rsidP="004A21C1">
      <w:pPr>
        <w:pStyle w:val="NoSpacing"/>
        <w:rPr>
          <w:rFonts w:ascii="Arial" w:hAnsi="Arial" w:cs="Arial"/>
          <w:sz w:val="24"/>
        </w:rPr>
      </w:pPr>
      <w:r>
        <w:rPr>
          <w:rFonts w:ascii="Arial" w:hAnsi="Arial" w:cs="Arial"/>
          <w:sz w:val="24"/>
        </w:rPr>
        <w:t>In making this decision the Governing Body should consider whether there is robust evidence of one or more of the following:</w:t>
      </w:r>
    </w:p>
    <w:p w:rsidR="004A21C1" w:rsidRDefault="004A21C1" w:rsidP="004A21C1">
      <w:pPr>
        <w:pStyle w:val="NoSpacing"/>
        <w:rPr>
          <w:rFonts w:ascii="Arial" w:hAnsi="Arial" w:cs="Arial"/>
          <w:sz w:val="24"/>
        </w:rPr>
      </w:pPr>
    </w:p>
    <w:p w:rsidR="004A21C1" w:rsidRDefault="004A21C1" w:rsidP="004A21C1">
      <w:pPr>
        <w:pStyle w:val="NoSpacing"/>
        <w:rPr>
          <w:rFonts w:ascii="Arial" w:hAnsi="Arial" w:cs="Arial"/>
          <w:sz w:val="24"/>
        </w:rPr>
      </w:pPr>
    </w:p>
    <w:p w:rsidR="004A21C1" w:rsidRDefault="004A21C1" w:rsidP="004A21C1">
      <w:pPr>
        <w:pStyle w:val="ListParagraph"/>
        <w:numPr>
          <w:ilvl w:val="0"/>
          <w:numId w:val="16"/>
        </w:numPr>
        <w:rPr>
          <w:rFonts w:ascii="Arial" w:hAnsi="Arial" w:cs="Arial"/>
        </w:rPr>
      </w:pPr>
      <w:r w:rsidRPr="00E50273">
        <w:rPr>
          <w:rFonts w:ascii="Arial" w:hAnsi="Arial" w:cs="Arial"/>
        </w:rPr>
        <w:t>A</w:t>
      </w:r>
      <w:r>
        <w:rPr>
          <w:rFonts w:ascii="Arial" w:hAnsi="Arial" w:cs="Arial"/>
        </w:rPr>
        <w:t xml:space="preserve">n </w:t>
      </w:r>
      <w:r w:rsidRPr="00E50273">
        <w:rPr>
          <w:rFonts w:ascii="Arial" w:hAnsi="Arial" w:cs="Arial"/>
        </w:rPr>
        <w:t>existing service</w:t>
      </w:r>
      <w:r>
        <w:rPr>
          <w:rFonts w:ascii="Arial" w:hAnsi="Arial" w:cs="Arial"/>
        </w:rPr>
        <w:t xml:space="preserve"> is </w:t>
      </w:r>
      <w:r w:rsidRPr="00E50273">
        <w:rPr>
          <w:rFonts w:ascii="Arial" w:hAnsi="Arial" w:cs="Arial"/>
        </w:rPr>
        <w:t>not meeting the</w:t>
      </w:r>
      <w:r>
        <w:rPr>
          <w:rFonts w:ascii="Arial" w:hAnsi="Arial" w:cs="Arial"/>
        </w:rPr>
        <w:t xml:space="preserve"> health needs of the population</w:t>
      </w:r>
      <w:r>
        <w:rPr>
          <w:rFonts w:ascii="Arial" w:hAnsi="Arial" w:cs="Arial"/>
        </w:rPr>
        <w:br/>
      </w:r>
    </w:p>
    <w:p w:rsidR="004A21C1" w:rsidRDefault="004A21C1" w:rsidP="004A21C1">
      <w:pPr>
        <w:pStyle w:val="ListParagraph"/>
        <w:numPr>
          <w:ilvl w:val="0"/>
          <w:numId w:val="16"/>
        </w:numPr>
        <w:rPr>
          <w:rFonts w:ascii="Arial" w:hAnsi="Arial" w:cs="Arial"/>
        </w:rPr>
      </w:pPr>
      <w:r w:rsidRPr="00E50273">
        <w:rPr>
          <w:rFonts w:ascii="Arial" w:hAnsi="Arial" w:cs="Arial"/>
        </w:rPr>
        <w:t>The original decision to fund a service was made on ass</w:t>
      </w:r>
      <w:r>
        <w:rPr>
          <w:rFonts w:ascii="Arial" w:hAnsi="Arial" w:cs="Arial"/>
        </w:rPr>
        <w:t>umptions that have not been realised</w:t>
      </w:r>
      <w:r>
        <w:rPr>
          <w:rFonts w:ascii="Arial" w:hAnsi="Arial" w:cs="Arial"/>
        </w:rPr>
        <w:br/>
      </w:r>
    </w:p>
    <w:p w:rsidR="004A21C1" w:rsidRDefault="004A21C1" w:rsidP="004A21C1">
      <w:pPr>
        <w:pStyle w:val="ListParagraph"/>
        <w:numPr>
          <w:ilvl w:val="0"/>
          <w:numId w:val="16"/>
        </w:numPr>
        <w:rPr>
          <w:rFonts w:ascii="Arial" w:hAnsi="Arial" w:cs="Arial"/>
        </w:rPr>
      </w:pPr>
      <w:r w:rsidRPr="00E50273">
        <w:rPr>
          <w:rFonts w:ascii="Arial" w:hAnsi="Arial" w:cs="Arial"/>
        </w:rPr>
        <w:t>There are demonstrable benefits</w:t>
      </w:r>
      <w:r>
        <w:rPr>
          <w:rFonts w:ascii="Arial" w:hAnsi="Arial" w:cs="Arial"/>
        </w:rPr>
        <w:t xml:space="preserve"> to patients from</w:t>
      </w:r>
      <w:r w:rsidRPr="00E50273">
        <w:rPr>
          <w:rFonts w:ascii="Arial" w:hAnsi="Arial" w:cs="Arial"/>
        </w:rPr>
        <w:t xml:space="preserve"> t</w:t>
      </w:r>
      <w:r>
        <w:rPr>
          <w:rFonts w:ascii="Arial" w:hAnsi="Arial" w:cs="Arial"/>
        </w:rPr>
        <w:t>he decommissioning of a service</w:t>
      </w:r>
      <w:r>
        <w:rPr>
          <w:rFonts w:ascii="Arial" w:hAnsi="Arial" w:cs="Arial"/>
        </w:rPr>
        <w:br/>
      </w:r>
    </w:p>
    <w:p w:rsidR="004A21C1" w:rsidRDefault="004A21C1" w:rsidP="004A21C1">
      <w:pPr>
        <w:pStyle w:val="ListParagraph"/>
        <w:numPr>
          <w:ilvl w:val="0"/>
          <w:numId w:val="16"/>
        </w:numPr>
        <w:rPr>
          <w:rFonts w:ascii="Arial" w:hAnsi="Arial" w:cs="Arial"/>
        </w:rPr>
      </w:pPr>
      <w:r w:rsidRPr="00E50273">
        <w:rPr>
          <w:rFonts w:ascii="Arial" w:hAnsi="Arial" w:cs="Arial"/>
        </w:rPr>
        <w:t>The</w:t>
      </w:r>
      <w:r>
        <w:rPr>
          <w:rFonts w:ascii="Arial" w:hAnsi="Arial" w:cs="Arial"/>
        </w:rPr>
        <w:t xml:space="preserve"> provider cannot </w:t>
      </w:r>
      <w:r w:rsidRPr="00E50273">
        <w:rPr>
          <w:rFonts w:ascii="Arial" w:hAnsi="Arial" w:cs="Arial"/>
        </w:rPr>
        <w:t>demonstrate delivery of agreed outcome measures or deliver</w:t>
      </w:r>
      <w:r>
        <w:rPr>
          <w:rFonts w:ascii="Arial" w:hAnsi="Arial" w:cs="Arial"/>
        </w:rPr>
        <w:t>y of</w:t>
      </w:r>
      <w:r w:rsidRPr="00E50273">
        <w:rPr>
          <w:rFonts w:ascii="Arial" w:hAnsi="Arial" w:cs="Arial"/>
        </w:rPr>
        <w:t xml:space="preserve"> outcomes, despite agreed remedial action as de</w:t>
      </w:r>
      <w:r>
        <w:rPr>
          <w:rFonts w:ascii="Arial" w:hAnsi="Arial" w:cs="Arial"/>
        </w:rPr>
        <w:t>tailed in the relevant contract</w:t>
      </w:r>
      <w:r>
        <w:rPr>
          <w:rFonts w:ascii="Arial" w:hAnsi="Arial" w:cs="Arial"/>
        </w:rPr>
        <w:br/>
      </w:r>
    </w:p>
    <w:p w:rsidR="004A21C1" w:rsidRPr="007D0F60" w:rsidRDefault="004A21C1" w:rsidP="004A21C1">
      <w:pPr>
        <w:pStyle w:val="ListParagraph"/>
        <w:numPr>
          <w:ilvl w:val="0"/>
          <w:numId w:val="16"/>
        </w:numPr>
        <w:rPr>
          <w:rFonts w:ascii="Arial" w:hAnsi="Arial" w:cs="Arial"/>
        </w:rPr>
      </w:pPr>
      <w:r w:rsidRPr="007D0F60">
        <w:rPr>
          <w:rFonts w:ascii="Arial" w:hAnsi="Arial" w:cs="Arial"/>
        </w:rPr>
        <w:t xml:space="preserve">The service does not deliver value for money and is unable to demonstrate clinical and cost effectiveness, so that </w:t>
      </w:r>
      <w:r>
        <w:rPr>
          <w:rFonts w:ascii="Arial" w:hAnsi="Arial" w:cs="Arial"/>
        </w:rPr>
        <w:t>t</w:t>
      </w:r>
      <w:r w:rsidRPr="007D0F60">
        <w:rPr>
          <w:rFonts w:ascii="Arial" w:hAnsi="Arial" w:cs="Arial"/>
        </w:rPr>
        <w:t xml:space="preserve">he investment in </w:t>
      </w:r>
      <w:r>
        <w:rPr>
          <w:rFonts w:ascii="Arial" w:hAnsi="Arial" w:cs="Arial"/>
        </w:rPr>
        <w:t>the</w:t>
      </w:r>
      <w:r w:rsidRPr="007D0F60">
        <w:rPr>
          <w:rFonts w:ascii="Arial" w:hAnsi="Arial" w:cs="Arial"/>
        </w:rPr>
        <w:t xml:space="preserve"> service does not maximise the health gain that could be achieved by reinvesting the funding elsewhere</w:t>
      </w:r>
      <w:r>
        <w:rPr>
          <w:rFonts w:ascii="Arial" w:hAnsi="Arial" w:cs="Arial"/>
        </w:rPr>
        <w:br/>
      </w:r>
    </w:p>
    <w:p w:rsidR="004A21C1" w:rsidRDefault="004A21C1" w:rsidP="004A21C1">
      <w:pPr>
        <w:pStyle w:val="ListParagraph"/>
        <w:numPr>
          <w:ilvl w:val="0"/>
          <w:numId w:val="16"/>
        </w:numPr>
        <w:rPr>
          <w:rFonts w:ascii="Arial" w:hAnsi="Arial" w:cs="Arial"/>
        </w:rPr>
      </w:pPr>
      <w:r>
        <w:rPr>
          <w:rFonts w:ascii="Arial" w:hAnsi="Arial" w:cs="Arial"/>
        </w:rPr>
        <w:t>The s</w:t>
      </w:r>
      <w:r w:rsidRPr="00EB42FD">
        <w:rPr>
          <w:rFonts w:ascii="Arial" w:hAnsi="Arial" w:cs="Arial"/>
        </w:rPr>
        <w:t xml:space="preserve">ervice fails to meet the standards of a modern NHS as defined by the NHS constitution, </w:t>
      </w:r>
      <w:r>
        <w:rPr>
          <w:rFonts w:ascii="Arial" w:hAnsi="Arial" w:cs="Arial"/>
        </w:rPr>
        <w:t>clinical evidence and nationally driven changes</w:t>
      </w:r>
      <w:r>
        <w:rPr>
          <w:rFonts w:ascii="Arial" w:hAnsi="Arial" w:cs="Arial"/>
        </w:rPr>
        <w:br/>
      </w:r>
    </w:p>
    <w:p w:rsidR="004A21C1" w:rsidRPr="007D0F60" w:rsidRDefault="004A21C1" w:rsidP="004A21C1">
      <w:pPr>
        <w:pStyle w:val="ListParagraph"/>
        <w:numPr>
          <w:ilvl w:val="0"/>
          <w:numId w:val="16"/>
        </w:numPr>
        <w:rPr>
          <w:rFonts w:ascii="Arial" w:hAnsi="Arial" w:cs="Arial"/>
        </w:rPr>
      </w:pPr>
      <w:r w:rsidRPr="007D0F60">
        <w:rPr>
          <w:rFonts w:ascii="Arial" w:hAnsi="Arial" w:cs="Arial"/>
        </w:rPr>
        <w:t>The service provided is no longer the statutory responsibility of the CCG, or is no longer a component of the CCG</w:t>
      </w:r>
      <w:r>
        <w:rPr>
          <w:rFonts w:ascii="Arial" w:hAnsi="Arial" w:cs="Arial"/>
        </w:rPr>
        <w:t>’</w:t>
      </w:r>
      <w:r w:rsidRPr="007D0F60">
        <w:rPr>
          <w:rFonts w:ascii="Arial" w:hAnsi="Arial" w:cs="Arial"/>
        </w:rPr>
        <w:t>s core provision</w:t>
      </w:r>
      <w:r>
        <w:rPr>
          <w:rFonts w:ascii="Arial" w:hAnsi="Arial" w:cs="Arial"/>
        </w:rPr>
        <w:br/>
      </w:r>
    </w:p>
    <w:p w:rsidR="004A21C1" w:rsidRDefault="004A21C1" w:rsidP="004A21C1">
      <w:pPr>
        <w:pStyle w:val="ListParagraph"/>
        <w:numPr>
          <w:ilvl w:val="0"/>
          <w:numId w:val="16"/>
        </w:numPr>
        <w:rPr>
          <w:rFonts w:ascii="Arial" w:hAnsi="Arial" w:cs="Arial"/>
        </w:rPr>
      </w:pPr>
      <w:r w:rsidRPr="00EB42FD">
        <w:rPr>
          <w:rFonts w:ascii="Arial" w:hAnsi="Arial" w:cs="Arial"/>
        </w:rPr>
        <w:t>The service is unsafe or of poor quality.</w:t>
      </w:r>
    </w:p>
    <w:p w:rsidR="00C43844" w:rsidRDefault="00C43844">
      <w:pPr>
        <w:rPr>
          <w:rFonts w:ascii="Arial" w:hAnsi="Arial" w:cs="Arial"/>
        </w:rPr>
      </w:pPr>
    </w:p>
    <w:sectPr w:rsidR="00C43844" w:rsidSect="00B92821">
      <w:headerReference w:type="default" r:id="rId10"/>
      <w:footerReference w:type="default" r:id="rId11"/>
      <w:pgSz w:w="11904" w:h="16840"/>
      <w:pgMar w:top="760" w:right="1440" w:bottom="1240" w:left="1220"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D8" w:rsidRDefault="00164DD8">
      <w:r>
        <w:separator/>
      </w:r>
    </w:p>
  </w:endnote>
  <w:endnote w:type="continuationSeparator" w:id="0">
    <w:p w:rsidR="00164DD8" w:rsidRDefault="0016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45526"/>
      <w:docPartObj>
        <w:docPartGallery w:val="Page Numbers (Bottom of Page)"/>
        <w:docPartUnique/>
      </w:docPartObj>
    </w:sdtPr>
    <w:sdtEndPr>
      <w:rPr>
        <w:noProof/>
      </w:rPr>
    </w:sdtEndPr>
    <w:sdtContent>
      <w:p w:rsidR="00164DD8" w:rsidRDefault="00164DD8">
        <w:pPr>
          <w:pStyle w:val="Footer"/>
          <w:jc w:val="right"/>
        </w:pPr>
        <w:r>
          <w:fldChar w:fldCharType="begin"/>
        </w:r>
        <w:r>
          <w:instrText xml:space="preserve"> PAGE   \* MERGEFORMAT </w:instrText>
        </w:r>
        <w:r>
          <w:fldChar w:fldCharType="separate"/>
        </w:r>
        <w:r w:rsidR="00492B88">
          <w:rPr>
            <w:noProof/>
          </w:rPr>
          <w:t>2</w:t>
        </w:r>
        <w:r>
          <w:rPr>
            <w:noProof/>
          </w:rPr>
          <w:fldChar w:fldCharType="end"/>
        </w:r>
      </w:p>
    </w:sdtContent>
  </w:sdt>
  <w:p w:rsidR="00164DD8" w:rsidRPr="006105C4" w:rsidRDefault="00164DD8" w:rsidP="006105C4">
    <w:pPr>
      <w:pStyle w:val="Foote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D8" w:rsidRDefault="00164DD8">
      <w:r>
        <w:separator/>
      </w:r>
    </w:p>
  </w:footnote>
  <w:footnote w:type="continuationSeparator" w:id="0">
    <w:p w:rsidR="00164DD8" w:rsidRDefault="0016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D8" w:rsidRPr="00C52129" w:rsidRDefault="00164DD8" w:rsidP="002E6106">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F6"/>
    <w:multiLevelType w:val="multilevel"/>
    <w:tmpl w:val="38B285E0"/>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2"/>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3606C6"/>
    <w:multiLevelType w:val="hybridMultilevel"/>
    <w:tmpl w:val="253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D7FBE"/>
    <w:multiLevelType w:val="hybridMultilevel"/>
    <w:tmpl w:val="63621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06A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F3549"/>
    <w:multiLevelType w:val="hybridMultilevel"/>
    <w:tmpl w:val="F17E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A48"/>
    <w:multiLevelType w:val="hybridMultilevel"/>
    <w:tmpl w:val="CC56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B54F0"/>
    <w:multiLevelType w:val="hybridMultilevel"/>
    <w:tmpl w:val="A4A4A0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D2459BF"/>
    <w:multiLevelType w:val="hybridMultilevel"/>
    <w:tmpl w:val="87BCC8EC"/>
    <w:lvl w:ilvl="0" w:tplc="7E90CFD4">
      <w:start w:val="1"/>
      <w:numFmt w:val="bullet"/>
      <w:lvlText w:val="•"/>
      <w:lvlJc w:val="left"/>
      <w:pPr>
        <w:ind w:hanging="284"/>
      </w:pPr>
      <w:rPr>
        <w:rFonts w:ascii="Arial" w:eastAsia="Arial" w:hAnsi="Arial" w:hint="default"/>
        <w:w w:val="131"/>
        <w:sz w:val="22"/>
        <w:szCs w:val="22"/>
      </w:rPr>
    </w:lvl>
    <w:lvl w:ilvl="1" w:tplc="6E32E520">
      <w:start w:val="1"/>
      <w:numFmt w:val="bullet"/>
      <w:lvlText w:val="•"/>
      <w:lvlJc w:val="left"/>
      <w:rPr>
        <w:rFonts w:hint="default"/>
      </w:rPr>
    </w:lvl>
    <w:lvl w:ilvl="2" w:tplc="BCD24F5C">
      <w:start w:val="1"/>
      <w:numFmt w:val="bullet"/>
      <w:lvlText w:val="•"/>
      <w:lvlJc w:val="left"/>
      <w:rPr>
        <w:rFonts w:hint="default"/>
      </w:rPr>
    </w:lvl>
    <w:lvl w:ilvl="3" w:tplc="F6466ACC">
      <w:start w:val="1"/>
      <w:numFmt w:val="bullet"/>
      <w:lvlText w:val="•"/>
      <w:lvlJc w:val="left"/>
      <w:rPr>
        <w:rFonts w:hint="default"/>
      </w:rPr>
    </w:lvl>
    <w:lvl w:ilvl="4" w:tplc="B57CC3F4">
      <w:start w:val="1"/>
      <w:numFmt w:val="bullet"/>
      <w:lvlText w:val="•"/>
      <w:lvlJc w:val="left"/>
      <w:rPr>
        <w:rFonts w:hint="default"/>
      </w:rPr>
    </w:lvl>
    <w:lvl w:ilvl="5" w:tplc="E7D435A6">
      <w:start w:val="1"/>
      <w:numFmt w:val="bullet"/>
      <w:lvlText w:val="•"/>
      <w:lvlJc w:val="left"/>
      <w:rPr>
        <w:rFonts w:hint="default"/>
      </w:rPr>
    </w:lvl>
    <w:lvl w:ilvl="6" w:tplc="6786152E">
      <w:start w:val="1"/>
      <w:numFmt w:val="bullet"/>
      <w:lvlText w:val="•"/>
      <w:lvlJc w:val="left"/>
      <w:rPr>
        <w:rFonts w:hint="default"/>
      </w:rPr>
    </w:lvl>
    <w:lvl w:ilvl="7" w:tplc="CE1A4D6A">
      <w:start w:val="1"/>
      <w:numFmt w:val="bullet"/>
      <w:lvlText w:val="•"/>
      <w:lvlJc w:val="left"/>
      <w:rPr>
        <w:rFonts w:hint="default"/>
      </w:rPr>
    </w:lvl>
    <w:lvl w:ilvl="8" w:tplc="70D2C742">
      <w:start w:val="1"/>
      <w:numFmt w:val="bullet"/>
      <w:lvlText w:val="•"/>
      <w:lvlJc w:val="left"/>
      <w:rPr>
        <w:rFonts w:hint="default"/>
      </w:rPr>
    </w:lvl>
  </w:abstractNum>
  <w:abstractNum w:abstractNumId="8">
    <w:nsid w:val="0DBB6320"/>
    <w:multiLevelType w:val="hybridMultilevel"/>
    <w:tmpl w:val="CA2CA25C"/>
    <w:lvl w:ilvl="0" w:tplc="08090001">
      <w:start w:val="1"/>
      <w:numFmt w:val="bullet"/>
      <w:lvlText w:val=""/>
      <w:lvlJc w:val="left"/>
      <w:pPr>
        <w:ind w:left="720" w:hanging="360"/>
      </w:pPr>
      <w:rPr>
        <w:rFonts w:ascii="Symbol" w:hAnsi="Symbol" w:hint="default"/>
      </w:rPr>
    </w:lvl>
    <w:lvl w:ilvl="1" w:tplc="0B12FA0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D09E6"/>
    <w:multiLevelType w:val="hybridMultilevel"/>
    <w:tmpl w:val="E636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84D10"/>
    <w:multiLevelType w:val="hybridMultilevel"/>
    <w:tmpl w:val="682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3088C"/>
    <w:multiLevelType w:val="hybridMultilevel"/>
    <w:tmpl w:val="05A4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84723"/>
    <w:multiLevelType w:val="hybridMultilevel"/>
    <w:tmpl w:val="4880E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F6369"/>
    <w:multiLevelType w:val="hybridMultilevel"/>
    <w:tmpl w:val="00946E86"/>
    <w:lvl w:ilvl="0" w:tplc="80C69518">
      <w:start w:val="1"/>
      <w:numFmt w:val="bullet"/>
      <w:lvlText w:val="•"/>
      <w:lvlJc w:val="left"/>
      <w:pPr>
        <w:ind w:hanging="284"/>
      </w:pPr>
      <w:rPr>
        <w:rFonts w:ascii="Arial" w:eastAsia="Arial" w:hAnsi="Arial" w:hint="default"/>
        <w:w w:val="131"/>
        <w:sz w:val="22"/>
        <w:szCs w:val="22"/>
      </w:rPr>
    </w:lvl>
    <w:lvl w:ilvl="1" w:tplc="51129486">
      <w:start w:val="1"/>
      <w:numFmt w:val="bullet"/>
      <w:lvlText w:val="•"/>
      <w:lvlJc w:val="left"/>
      <w:rPr>
        <w:rFonts w:hint="default"/>
      </w:rPr>
    </w:lvl>
    <w:lvl w:ilvl="2" w:tplc="65BC7C88">
      <w:start w:val="1"/>
      <w:numFmt w:val="bullet"/>
      <w:lvlText w:val="•"/>
      <w:lvlJc w:val="left"/>
      <w:rPr>
        <w:rFonts w:hint="default"/>
      </w:rPr>
    </w:lvl>
    <w:lvl w:ilvl="3" w:tplc="E07C9FEA">
      <w:start w:val="1"/>
      <w:numFmt w:val="bullet"/>
      <w:lvlText w:val="•"/>
      <w:lvlJc w:val="left"/>
      <w:rPr>
        <w:rFonts w:hint="default"/>
      </w:rPr>
    </w:lvl>
    <w:lvl w:ilvl="4" w:tplc="6786DEE0">
      <w:start w:val="1"/>
      <w:numFmt w:val="bullet"/>
      <w:lvlText w:val="•"/>
      <w:lvlJc w:val="left"/>
      <w:rPr>
        <w:rFonts w:hint="default"/>
      </w:rPr>
    </w:lvl>
    <w:lvl w:ilvl="5" w:tplc="CA7A5FCC">
      <w:start w:val="1"/>
      <w:numFmt w:val="bullet"/>
      <w:lvlText w:val="•"/>
      <w:lvlJc w:val="left"/>
      <w:rPr>
        <w:rFonts w:hint="default"/>
      </w:rPr>
    </w:lvl>
    <w:lvl w:ilvl="6" w:tplc="7188D44E">
      <w:start w:val="1"/>
      <w:numFmt w:val="bullet"/>
      <w:lvlText w:val="•"/>
      <w:lvlJc w:val="left"/>
      <w:rPr>
        <w:rFonts w:hint="default"/>
      </w:rPr>
    </w:lvl>
    <w:lvl w:ilvl="7" w:tplc="69708C9E">
      <w:start w:val="1"/>
      <w:numFmt w:val="bullet"/>
      <w:lvlText w:val="•"/>
      <w:lvlJc w:val="left"/>
      <w:rPr>
        <w:rFonts w:hint="default"/>
      </w:rPr>
    </w:lvl>
    <w:lvl w:ilvl="8" w:tplc="270C70D6">
      <w:start w:val="1"/>
      <w:numFmt w:val="bullet"/>
      <w:lvlText w:val="•"/>
      <w:lvlJc w:val="left"/>
      <w:rPr>
        <w:rFonts w:hint="default"/>
      </w:rPr>
    </w:lvl>
  </w:abstractNum>
  <w:abstractNum w:abstractNumId="14">
    <w:nsid w:val="30DD4F97"/>
    <w:multiLevelType w:val="hybridMultilevel"/>
    <w:tmpl w:val="1F30F4F2"/>
    <w:lvl w:ilvl="0" w:tplc="B2783372">
      <w:start w:val="1"/>
      <w:numFmt w:val="bullet"/>
      <w:lvlText w:val="•"/>
      <w:lvlJc w:val="left"/>
      <w:pPr>
        <w:ind w:hanging="284"/>
      </w:pPr>
      <w:rPr>
        <w:rFonts w:ascii="Arial" w:eastAsia="Arial" w:hAnsi="Arial" w:hint="default"/>
        <w:w w:val="131"/>
        <w:sz w:val="22"/>
        <w:szCs w:val="22"/>
      </w:rPr>
    </w:lvl>
    <w:lvl w:ilvl="1" w:tplc="2ACE69E8">
      <w:start w:val="1"/>
      <w:numFmt w:val="bullet"/>
      <w:lvlText w:val="•"/>
      <w:lvlJc w:val="left"/>
      <w:rPr>
        <w:rFonts w:hint="default"/>
      </w:rPr>
    </w:lvl>
    <w:lvl w:ilvl="2" w:tplc="860630DE">
      <w:start w:val="1"/>
      <w:numFmt w:val="bullet"/>
      <w:lvlText w:val="•"/>
      <w:lvlJc w:val="left"/>
      <w:rPr>
        <w:rFonts w:hint="default"/>
      </w:rPr>
    </w:lvl>
    <w:lvl w:ilvl="3" w:tplc="153A90D2">
      <w:start w:val="1"/>
      <w:numFmt w:val="bullet"/>
      <w:lvlText w:val="•"/>
      <w:lvlJc w:val="left"/>
      <w:rPr>
        <w:rFonts w:hint="default"/>
      </w:rPr>
    </w:lvl>
    <w:lvl w:ilvl="4" w:tplc="62A25E60">
      <w:start w:val="1"/>
      <w:numFmt w:val="bullet"/>
      <w:lvlText w:val="•"/>
      <w:lvlJc w:val="left"/>
      <w:rPr>
        <w:rFonts w:hint="default"/>
      </w:rPr>
    </w:lvl>
    <w:lvl w:ilvl="5" w:tplc="EFB47312">
      <w:start w:val="1"/>
      <w:numFmt w:val="bullet"/>
      <w:lvlText w:val="•"/>
      <w:lvlJc w:val="left"/>
      <w:rPr>
        <w:rFonts w:hint="default"/>
      </w:rPr>
    </w:lvl>
    <w:lvl w:ilvl="6" w:tplc="E33AD9B0">
      <w:start w:val="1"/>
      <w:numFmt w:val="bullet"/>
      <w:lvlText w:val="•"/>
      <w:lvlJc w:val="left"/>
      <w:rPr>
        <w:rFonts w:hint="default"/>
      </w:rPr>
    </w:lvl>
    <w:lvl w:ilvl="7" w:tplc="D19E2C20">
      <w:start w:val="1"/>
      <w:numFmt w:val="bullet"/>
      <w:lvlText w:val="•"/>
      <w:lvlJc w:val="left"/>
      <w:rPr>
        <w:rFonts w:hint="default"/>
      </w:rPr>
    </w:lvl>
    <w:lvl w:ilvl="8" w:tplc="0FA44ED8">
      <w:start w:val="1"/>
      <w:numFmt w:val="bullet"/>
      <w:lvlText w:val="•"/>
      <w:lvlJc w:val="left"/>
      <w:rPr>
        <w:rFonts w:hint="default"/>
      </w:rPr>
    </w:lvl>
  </w:abstractNum>
  <w:abstractNum w:abstractNumId="15">
    <w:nsid w:val="31EB4CF7"/>
    <w:multiLevelType w:val="hybridMultilevel"/>
    <w:tmpl w:val="B8A8B5CE"/>
    <w:lvl w:ilvl="0" w:tplc="2312E68A">
      <w:start w:val="1"/>
      <w:numFmt w:val="lowerLetter"/>
      <w:lvlText w:val="%1."/>
      <w:lvlJc w:val="left"/>
      <w:pPr>
        <w:ind w:hanging="360"/>
      </w:pPr>
      <w:rPr>
        <w:rFonts w:ascii="Arial" w:eastAsia="Arial" w:hAnsi="Arial" w:hint="default"/>
        <w:spacing w:val="2"/>
        <w:sz w:val="22"/>
        <w:szCs w:val="22"/>
      </w:rPr>
    </w:lvl>
    <w:lvl w:ilvl="1" w:tplc="C03066F6">
      <w:start w:val="1"/>
      <w:numFmt w:val="bullet"/>
      <w:lvlText w:val="•"/>
      <w:lvlJc w:val="left"/>
      <w:rPr>
        <w:rFonts w:hint="default"/>
      </w:rPr>
    </w:lvl>
    <w:lvl w:ilvl="2" w:tplc="5790A02C">
      <w:start w:val="1"/>
      <w:numFmt w:val="bullet"/>
      <w:lvlText w:val="•"/>
      <w:lvlJc w:val="left"/>
      <w:rPr>
        <w:rFonts w:hint="default"/>
      </w:rPr>
    </w:lvl>
    <w:lvl w:ilvl="3" w:tplc="44587704">
      <w:start w:val="1"/>
      <w:numFmt w:val="bullet"/>
      <w:lvlText w:val="•"/>
      <w:lvlJc w:val="left"/>
      <w:rPr>
        <w:rFonts w:hint="default"/>
      </w:rPr>
    </w:lvl>
    <w:lvl w:ilvl="4" w:tplc="6548F6BA">
      <w:start w:val="1"/>
      <w:numFmt w:val="bullet"/>
      <w:lvlText w:val="•"/>
      <w:lvlJc w:val="left"/>
      <w:rPr>
        <w:rFonts w:hint="default"/>
      </w:rPr>
    </w:lvl>
    <w:lvl w:ilvl="5" w:tplc="CF127C06">
      <w:start w:val="1"/>
      <w:numFmt w:val="bullet"/>
      <w:lvlText w:val="•"/>
      <w:lvlJc w:val="left"/>
      <w:rPr>
        <w:rFonts w:hint="default"/>
      </w:rPr>
    </w:lvl>
    <w:lvl w:ilvl="6" w:tplc="6D5CBB66">
      <w:start w:val="1"/>
      <w:numFmt w:val="bullet"/>
      <w:lvlText w:val="•"/>
      <w:lvlJc w:val="left"/>
      <w:rPr>
        <w:rFonts w:hint="default"/>
      </w:rPr>
    </w:lvl>
    <w:lvl w:ilvl="7" w:tplc="CA6AE968">
      <w:start w:val="1"/>
      <w:numFmt w:val="bullet"/>
      <w:lvlText w:val="•"/>
      <w:lvlJc w:val="left"/>
      <w:rPr>
        <w:rFonts w:hint="default"/>
      </w:rPr>
    </w:lvl>
    <w:lvl w:ilvl="8" w:tplc="CE38B922">
      <w:start w:val="1"/>
      <w:numFmt w:val="bullet"/>
      <w:lvlText w:val="•"/>
      <w:lvlJc w:val="left"/>
      <w:rPr>
        <w:rFonts w:hint="default"/>
      </w:rPr>
    </w:lvl>
  </w:abstractNum>
  <w:abstractNum w:abstractNumId="16">
    <w:nsid w:val="354962F6"/>
    <w:multiLevelType w:val="hybridMultilevel"/>
    <w:tmpl w:val="8F38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03369"/>
    <w:multiLevelType w:val="hybridMultilevel"/>
    <w:tmpl w:val="265E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8536C"/>
    <w:multiLevelType w:val="hybridMultilevel"/>
    <w:tmpl w:val="247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B7E0D"/>
    <w:multiLevelType w:val="hybridMultilevel"/>
    <w:tmpl w:val="18D63A06"/>
    <w:lvl w:ilvl="0" w:tplc="08090001">
      <w:start w:val="1"/>
      <w:numFmt w:val="bullet"/>
      <w:lvlText w:val=""/>
      <w:lvlJc w:val="left"/>
      <w:pPr>
        <w:ind w:hanging="360"/>
      </w:pPr>
      <w:rPr>
        <w:rFonts w:ascii="Symbol" w:hAnsi="Symbol" w:hint="default"/>
        <w:spacing w:val="2"/>
        <w:sz w:val="22"/>
        <w:szCs w:val="22"/>
      </w:rPr>
    </w:lvl>
    <w:lvl w:ilvl="1" w:tplc="C03066F6">
      <w:start w:val="1"/>
      <w:numFmt w:val="bullet"/>
      <w:lvlText w:val="•"/>
      <w:lvlJc w:val="left"/>
      <w:rPr>
        <w:rFonts w:hint="default"/>
      </w:rPr>
    </w:lvl>
    <w:lvl w:ilvl="2" w:tplc="5790A02C">
      <w:start w:val="1"/>
      <w:numFmt w:val="bullet"/>
      <w:lvlText w:val="•"/>
      <w:lvlJc w:val="left"/>
      <w:rPr>
        <w:rFonts w:hint="default"/>
      </w:rPr>
    </w:lvl>
    <w:lvl w:ilvl="3" w:tplc="44587704">
      <w:start w:val="1"/>
      <w:numFmt w:val="bullet"/>
      <w:lvlText w:val="•"/>
      <w:lvlJc w:val="left"/>
      <w:rPr>
        <w:rFonts w:hint="default"/>
      </w:rPr>
    </w:lvl>
    <w:lvl w:ilvl="4" w:tplc="6548F6BA">
      <w:start w:val="1"/>
      <w:numFmt w:val="bullet"/>
      <w:lvlText w:val="•"/>
      <w:lvlJc w:val="left"/>
      <w:rPr>
        <w:rFonts w:hint="default"/>
      </w:rPr>
    </w:lvl>
    <w:lvl w:ilvl="5" w:tplc="CF127C06">
      <w:start w:val="1"/>
      <w:numFmt w:val="bullet"/>
      <w:lvlText w:val="•"/>
      <w:lvlJc w:val="left"/>
      <w:rPr>
        <w:rFonts w:hint="default"/>
      </w:rPr>
    </w:lvl>
    <w:lvl w:ilvl="6" w:tplc="6D5CBB66">
      <w:start w:val="1"/>
      <w:numFmt w:val="bullet"/>
      <w:lvlText w:val="•"/>
      <w:lvlJc w:val="left"/>
      <w:rPr>
        <w:rFonts w:hint="default"/>
      </w:rPr>
    </w:lvl>
    <w:lvl w:ilvl="7" w:tplc="CA6AE968">
      <w:start w:val="1"/>
      <w:numFmt w:val="bullet"/>
      <w:lvlText w:val="•"/>
      <w:lvlJc w:val="left"/>
      <w:rPr>
        <w:rFonts w:hint="default"/>
      </w:rPr>
    </w:lvl>
    <w:lvl w:ilvl="8" w:tplc="CE38B922">
      <w:start w:val="1"/>
      <w:numFmt w:val="bullet"/>
      <w:lvlText w:val="•"/>
      <w:lvlJc w:val="left"/>
      <w:rPr>
        <w:rFonts w:hint="default"/>
      </w:rPr>
    </w:lvl>
  </w:abstractNum>
  <w:abstractNum w:abstractNumId="20">
    <w:nsid w:val="3A7D0F6A"/>
    <w:multiLevelType w:val="hybridMultilevel"/>
    <w:tmpl w:val="180A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10C76"/>
    <w:multiLevelType w:val="hybridMultilevel"/>
    <w:tmpl w:val="7056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C82DDF"/>
    <w:multiLevelType w:val="hybridMultilevel"/>
    <w:tmpl w:val="09AA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1743AF"/>
    <w:multiLevelType w:val="hybridMultilevel"/>
    <w:tmpl w:val="A5E84C9A"/>
    <w:lvl w:ilvl="0" w:tplc="1E0C272A">
      <w:start w:val="1"/>
      <w:numFmt w:val="decimal"/>
      <w:lvlText w:val="%1."/>
      <w:lvlJc w:val="left"/>
      <w:pPr>
        <w:ind w:hanging="360"/>
        <w:jc w:val="right"/>
      </w:pPr>
      <w:rPr>
        <w:rFonts w:ascii="Arial" w:eastAsia="Arial" w:hAnsi="Arial" w:hint="default"/>
        <w:b/>
        <w:bCs/>
        <w:spacing w:val="2"/>
        <w:sz w:val="22"/>
        <w:szCs w:val="22"/>
      </w:rPr>
    </w:lvl>
    <w:lvl w:ilvl="1" w:tplc="DDAC9EF6">
      <w:start w:val="1"/>
      <w:numFmt w:val="decimal"/>
      <w:lvlText w:val="%2)"/>
      <w:lvlJc w:val="left"/>
      <w:pPr>
        <w:ind w:hanging="423"/>
        <w:jc w:val="right"/>
      </w:pPr>
      <w:rPr>
        <w:rFonts w:ascii="Arial" w:eastAsia="Arial" w:hAnsi="Arial" w:hint="default"/>
        <w:sz w:val="24"/>
        <w:szCs w:val="24"/>
      </w:rPr>
    </w:lvl>
    <w:lvl w:ilvl="2" w:tplc="D8F6F162">
      <w:start w:val="1"/>
      <w:numFmt w:val="bullet"/>
      <w:lvlText w:val="•"/>
      <w:lvlJc w:val="left"/>
      <w:rPr>
        <w:rFonts w:hint="default"/>
      </w:rPr>
    </w:lvl>
    <w:lvl w:ilvl="3" w:tplc="D1041D02">
      <w:start w:val="1"/>
      <w:numFmt w:val="bullet"/>
      <w:lvlText w:val="•"/>
      <w:lvlJc w:val="left"/>
      <w:rPr>
        <w:rFonts w:hint="default"/>
      </w:rPr>
    </w:lvl>
    <w:lvl w:ilvl="4" w:tplc="43AA6458">
      <w:start w:val="1"/>
      <w:numFmt w:val="bullet"/>
      <w:lvlText w:val="•"/>
      <w:lvlJc w:val="left"/>
      <w:rPr>
        <w:rFonts w:hint="default"/>
      </w:rPr>
    </w:lvl>
    <w:lvl w:ilvl="5" w:tplc="DC4E38AE">
      <w:start w:val="1"/>
      <w:numFmt w:val="bullet"/>
      <w:lvlText w:val="•"/>
      <w:lvlJc w:val="left"/>
      <w:rPr>
        <w:rFonts w:hint="default"/>
      </w:rPr>
    </w:lvl>
    <w:lvl w:ilvl="6" w:tplc="BE2E8960">
      <w:start w:val="1"/>
      <w:numFmt w:val="bullet"/>
      <w:lvlText w:val="•"/>
      <w:lvlJc w:val="left"/>
      <w:rPr>
        <w:rFonts w:hint="default"/>
      </w:rPr>
    </w:lvl>
    <w:lvl w:ilvl="7" w:tplc="94482798">
      <w:start w:val="1"/>
      <w:numFmt w:val="bullet"/>
      <w:lvlText w:val="•"/>
      <w:lvlJc w:val="left"/>
      <w:rPr>
        <w:rFonts w:hint="default"/>
      </w:rPr>
    </w:lvl>
    <w:lvl w:ilvl="8" w:tplc="60B0AAEC">
      <w:start w:val="1"/>
      <w:numFmt w:val="bullet"/>
      <w:lvlText w:val="•"/>
      <w:lvlJc w:val="left"/>
      <w:rPr>
        <w:rFonts w:hint="default"/>
      </w:rPr>
    </w:lvl>
  </w:abstractNum>
  <w:abstractNum w:abstractNumId="24">
    <w:nsid w:val="43EE3A0B"/>
    <w:multiLevelType w:val="multilevel"/>
    <w:tmpl w:val="261448B8"/>
    <w:lvl w:ilvl="0">
      <w:start w:val="4"/>
      <w:numFmt w:val="decimal"/>
      <w:lvlText w:val="%1"/>
      <w:lvlJc w:val="left"/>
      <w:pPr>
        <w:ind w:hanging="721"/>
      </w:pPr>
      <w:rPr>
        <w:rFonts w:hint="default"/>
      </w:rPr>
    </w:lvl>
    <w:lvl w:ilvl="1">
      <w:start w:val="2"/>
      <w:numFmt w:val="decimal"/>
      <w:lvlText w:val="%1.%2"/>
      <w:lvlJc w:val="left"/>
      <w:pPr>
        <w:ind w:hanging="721"/>
        <w:jc w:val="right"/>
      </w:pPr>
      <w:rPr>
        <w:rFonts w:ascii="Arial" w:eastAsia="Arial" w:hAnsi="Arial" w:hint="default"/>
        <w:b/>
        <w:bCs/>
        <w:spacing w:val="2"/>
        <w:sz w:val="22"/>
        <w:szCs w:val="22"/>
      </w:rPr>
    </w:lvl>
    <w:lvl w:ilvl="2">
      <w:start w:val="1"/>
      <w:numFmt w:val="lowerLetter"/>
      <w:lvlText w:val="%3."/>
      <w:lvlJc w:val="left"/>
      <w:pPr>
        <w:ind w:hanging="730"/>
        <w:jc w:val="right"/>
      </w:pPr>
      <w:rPr>
        <w:rFonts w:ascii="Arial" w:eastAsia="Arial" w:hAnsi="Arial" w:hint="default"/>
        <w:b/>
        <w:bCs/>
        <w:spacing w:val="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63D65E7"/>
    <w:multiLevelType w:val="hybridMultilevel"/>
    <w:tmpl w:val="A380D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A73526"/>
    <w:multiLevelType w:val="hybridMultilevel"/>
    <w:tmpl w:val="5B60D396"/>
    <w:lvl w:ilvl="0" w:tplc="CA5A6D0C">
      <w:start w:val="1"/>
      <w:numFmt w:val="lowerLetter"/>
      <w:lvlText w:val="(%1)"/>
      <w:lvlJc w:val="left"/>
      <w:pPr>
        <w:ind w:hanging="428"/>
      </w:pPr>
      <w:rPr>
        <w:rFonts w:ascii="Arial" w:eastAsia="Arial" w:hAnsi="Arial" w:hint="default"/>
        <w:i/>
        <w:spacing w:val="-2"/>
        <w:sz w:val="22"/>
        <w:szCs w:val="22"/>
      </w:rPr>
    </w:lvl>
    <w:lvl w:ilvl="1" w:tplc="FA005632">
      <w:start w:val="1"/>
      <w:numFmt w:val="bullet"/>
      <w:lvlText w:val="•"/>
      <w:lvlJc w:val="left"/>
      <w:rPr>
        <w:rFonts w:hint="default"/>
      </w:rPr>
    </w:lvl>
    <w:lvl w:ilvl="2" w:tplc="45A2CC62">
      <w:start w:val="1"/>
      <w:numFmt w:val="bullet"/>
      <w:lvlText w:val="•"/>
      <w:lvlJc w:val="left"/>
      <w:rPr>
        <w:rFonts w:hint="default"/>
      </w:rPr>
    </w:lvl>
    <w:lvl w:ilvl="3" w:tplc="570A94FA">
      <w:start w:val="1"/>
      <w:numFmt w:val="bullet"/>
      <w:lvlText w:val="•"/>
      <w:lvlJc w:val="left"/>
      <w:rPr>
        <w:rFonts w:hint="default"/>
      </w:rPr>
    </w:lvl>
    <w:lvl w:ilvl="4" w:tplc="ACD27C92">
      <w:start w:val="1"/>
      <w:numFmt w:val="bullet"/>
      <w:lvlText w:val="•"/>
      <w:lvlJc w:val="left"/>
      <w:rPr>
        <w:rFonts w:hint="default"/>
      </w:rPr>
    </w:lvl>
    <w:lvl w:ilvl="5" w:tplc="744E63FC">
      <w:start w:val="1"/>
      <w:numFmt w:val="bullet"/>
      <w:lvlText w:val="•"/>
      <w:lvlJc w:val="left"/>
      <w:rPr>
        <w:rFonts w:hint="default"/>
      </w:rPr>
    </w:lvl>
    <w:lvl w:ilvl="6" w:tplc="15B633E8">
      <w:start w:val="1"/>
      <w:numFmt w:val="bullet"/>
      <w:lvlText w:val="•"/>
      <w:lvlJc w:val="left"/>
      <w:rPr>
        <w:rFonts w:hint="default"/>
      </w:rPr>
    </w:lvl>
    <w:lvl w:ilvl="7" w:tplc="CC9C1310">
      <w:start w:val="1"/>
      <w:numFmt w:val="bullet"/>
      <w:lvlText w:val="•"/>
      <w:lvlJc w:val="left"/>
      <w:rPr>
        <w:rFonts w:hint="default"/>
      </w:rPr>
    </w:lvl>
    <w:lvl w:ilvl="8" w:tplc="B002C5C4">
      <w:start w:val="1"/>
      <w:numFmt w:val="bullet"/>
      <w:lvlText w:val="•"/>
      <w:lvlJc w:val="left"/>
      <w:rPr>
        <w:rFonts w:hint="default"/>
      </w:rPr>
    </w:lvl>
  </w:abstractNum>
  <w:abstractNum w:abstractNumId="27">
    <w:nsid w:val="4CEF32E4"/>
    <w:multiLevelType w:val="hybridMultilevel"/>
    <w:tmpl w:val="4A6A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20022"/>
    <w:multiLevelType w:val="hybridMultilevel"/>
    <w:tmpl w:val="75B6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FB16CB"/>
    <w:multiLevelType w:val="hybridMultilevel"/>
    <w:tmpl w:val="4A72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E6F79"/>
    <w:multiLevelType w:val="hybridMultilevel"/>
    <w:tmpl w:val="9F0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234D86"/>
    <w:multiLevelType w:val="multilevel"/>
    <w:tmpl w:val="A65A78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9DC0DC0"/>
    <w:multiLevelType w:val="hybridMultilevel"/>
    <w:tmpl w:val="64826346"/>
    <w:lvl w:ilvl="0" w:tplc="C8BC845A">
      <w:start w:val="1"/>
      <w:numFmt w:val="bullet"/>
      <w:lvlText w:val="•"/>
      <w:lvlJc w:val="left"/>
      <w:pPr>
        <w:ind w:hanging="361"/>
      </w:pPr>
      <w:rPr>
        <w:rFonts w:ascii="Arial" w:eastAsia="Arial" w:hAnsi="Arial" w:hint="default"/>
        <w:w w:val="131"/>
        <w:sz w:val="22"/>
        <w:szCs w:val="22"/>
      </w:rPr>
    </w:lvl>
    <w:lvl w:ilvl="1" w:tplc="D0B8C306">
      <w:start w:val="1"/>
      <w:numFmt w:val="bullet"/>
      <w:lvlText w:val="•"/>
      <w:lvlJc w:val="left"/>
      <w:rPr>
        <w:rFonts w:hint="default"/>
      </w:rPr>
    </w:lvl>
    <w:lvl w:ilvl="2" w:tplc="72ACD47E">
      <w:start w:val="1"/>
      <w:numFmt w:val="bullet"/>
      <w:lvlText w:val="•"/>
      <w:lvlJc w:val="left"/>
      <w:rPr>
        <w:rFonts w:hint="default"/>
      </w:rPr>
    </w:lvl>
    <w:lvl w:ilvl="3" w:tplc="63AADC3C">
      <w:start w:val="1"/>
      <w:numFmt w:val="bullet"/>
      <w:lvlText w:val="•"/>
      <w:lvlJc w:val="left"/>
      <w:rPr>
        <w:rFonts w:hint="default"/>
      </w:rPr>
    </w:lvl>
    <w:lvl w:ilvl="4" w:tplc="625842AA">
      <w:start w:val="1"/>
      <w:numFmt w:val="bullet"/>
      <w:lvlText w:val="•"/>
      <w:lvlJc w:val="left"/>
      <w:rPr>
        <w:rFonts w:hint="default"/>
      </w:rPr>
    </w:lvl>
    <w:lvl w:ilvl="5" w:tplc="EEDE4AFE">
      <w:start w:val="1"/>
      <w:numFmt w:val="bullet"/>
      <w:lvlText w:val="•"/>
      <w:lvlJc w:val="left"/>
      <w:rPr>
        <w:rFonts w:hint="default"/>
      </w:rPr>
    </w:lvl>
    <w:lvl w:ilvl="6" w:tplc="74684A78">
      <w:start w:val="1"/>
      <w:numFmt w:val="bullet"/>
      <w:lvlText w:val="•"/>
      <w:lvlJc w:val="left"/>
      <w:rPr>
        <w:rFonts w:hint="default"/>
      </w:rPr>
    </w:lvl>
    <w:lvl w:ilvl="7" w:tplc="5BB46130">
      <w:start w:val="1"/>
      <w:numFmt w:val="bullet"/>
      <w:lvlText w:val="•"/>
      <w:lvlJc w:val="left"/>
      <w:rPr>
        <w:rFonts w:hint="default"/>
      </w:rPr>
    </w:lvl>
    <w:lvl w:ilvl="8" w:tplc="E47AAAF8">
      <w:start w:val="1"/>
      <w:numFmt w:val="bullet"/>
      <w:lvlText w:val="•"/>
      <w:lvlJc w:val="left"/>
      <w:rPr>
        <w:rFonts w:hint="default"/>
      </w:rPr>
    </w:lvl>
  </w:abstractNum>
  <w:abstractNum w:abstractNumId="33">
    <w:nsid w:val="59FD0C7A"/>
    <w:multiLevelType w:val="hybridMultilevel"/>
    <w:tmpl w:val="B412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810492"/>
    <w:multiLevelType w:val="hybridMultilevel"/>
    <w:tmpl w:val="16BEF76C"/>
    <w:lvl w:ilvl="0" w:tplc="08090001">
      <w:start w:val="1"/>
      <w:numFmt w:val="bullet"/>
      <w:lvlText w:val=""/>
      <w:lvlJc w:val="left"/>
      <w:pPr>
        <w:ind w:hanging="361"/>
      </w:pPr>
      <w:rPr>
        <w:rFonts w:ascii="Symbol" w:hAnsi="Symbol" w:hint="default"/>
        <w:w w:val="131"/>
        <w:sz w:val="22"/>
        <w:szCs w:val="22"/>
      </w:rPr>
    </w:lvl>
    <w:lvl w:ilvl="1" w:tplc="D0B8C306">
      <w:start w:val="1"/>
      <w:numFmt w:val="bullet"/>
      <w:lvlText w:val="•"/>
      <w:lvlJc w:val="left"/>
      <w:rPr>
        <w:rFonts w:hint="default"/>
      </w:rPr>
    </w:lvl>
    <w:lvl w:ilvl="2" w:tplc="72ACD47E">
      <w:start w:val="1"/>
      <w:numFmt w:val="bullet"/>
      <w:lvlText w:val="•"/>
      <w:lvlJc w:val="left"/>
      <w:rPr>
        <w:rFonts w:hint="default"/>
      </w:rPr>
    </w:lvl>
    <w:lvl w:ilvl="3" w:tplc="63AADC3C">
      <w:start w:val="1"/>
      <w:numFmt w:val="bullet"/>
      <w:lvlText w:val="•"/>
      <w:lvlJc w:val="left"/>
      <w:rPr>
        <w:rFonts w:hint="default"/>
      </w:rPr>
    </w:lvl>
    <w:lvl w:ilvl="4" w:tplc="625842AA">
      <w:start w:val="1"/>
      <w:numFmt w:val="bullet"/>
      <w:lvlText w:val="•"/>
      <w:lvlJc w:val="left"/>
      <w:rPr>
        <w:rFonts w:hint="default"/>
      </w:rPr>
    </w:lvl>
    <w:lvl w:ilvl="5" w:tplc="EEDE4AFE">
      <w:start w:val="1"/>
      <w:numFmt w:val="bullet"/>
      <w:lvlText w:val="•"/>
      <w:lvlJc w:val="left"/>
      <w:rPr>
        <w:rFonts w:hint="default"/>
      </w:rPr>
    </w:lvl>
    <w:lvl w:ilvl="6" w:tplc="74684A78">
      <w:start w:val="1"/>
      <w:numFmt w:val="bullet"/>
      <w:lvlText w:val="•"/>
      <w:lvlJc w:val="left"/>
      <w:rPr>
        <w:rFonts w:hint="default"/>
      </w:rPr>
    </w:lvl>
    <w:lvl w:ilvl="7" w:tplc="5BB46130">
      <w:start w:val="1"/>
      <w:numFmt w:val="bullet"/>
      <w:lvlText w:val="•"/>
      <w:lvlJc w:val="left"/>
      <w:rPr>
        <w:rFonts w:hint="default"/>
      </w:rPr>
    </w:lvl>
    <w:lvl w:ilvl="8" w:tplc="E47AAAF8">
      <w:start w:val="1"/>
      <w:numFmt w:val="bullet"/>
      <w:lvlText w:val="•"/>
      <w:lvlJc w:val="left"/>
      <w:rPr>
        <w:rFonts w:hint="default"/>
      </w:rPr>
    </w:lvl>
  </w:abstractNum>
  <w:abstractNum w:abstractNumId="35">
    <w:nsid w:val="62103B52"/>
    <w:multiLevelType w:val="hybridMultilevel"/>
    <w:tmpl w:val="3B3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82AB0"/>
    <w:multiLevelType w:val="hybridMultilevel"/>
    <w:tmpl w:val="C2C6AA8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6DE81CEE"/>
    <w:multiLevelType w:val="hybridMultilevel"/>
    <w:tmpl w:val="1DB89A40"/>
    <w:lvl w:ilvl="0" w:tplc="38D47338">
      <w:start w:val="1"/>
      <w:numFmt w:val="bullet"/>
      <w:lvlText w:val="•"/>
      <w:lvlJc w:val="left"/>
      <w:pPr>
        <w:tabs>
          <w:tab w:val="num" w:pos="720"/>
        </w:tabs>
        <w:ind w:left="720" w:hanging="360"/>
      </w:pPr>
      <w:rPr>
        <w:rFonts w:ascii="Times New Roman" w:hAnsi="Times New Roman" w:hint="default"/>
      </w:rPr>
    </w:lvl>
    <w:lvl w:ilvl="1" w:tplc="B8DC4B94" w:tentative="1">
      <w:start w:val="1"/>
      <w:numFmt w:val="bullet"/>
      <w:lvlText w:val="•"/>
      <w:lvlJc w:val="left"/>
      <w:pPr>
        <w:tabs>
          <w:tab w:val="num" w:pos="1440"/>
        </w:tabs>
        <w:ind w:left="1440" w:hanging="360"/>
      </w:pPr>
      <w:rPr>
        <w:rFonts w:ascii="Times New Roman" w:hAnsi="Times New Roman" w:hint="default"/>
      </w:rPr>
    </w:lvl>
    <w:lvl w:ilvl="2" w:tplc="C08433C6" w:tentative="1">
      <w:start w:val="1"/>
      <w:numFmt w:val="bullet"/>
      <w:lvlText w:val="•"/>
      <w:lvlJc w:val="left"/>
      <w:pPr>
        <w:tabs>
          <w:tab w:val="num" w:pos="2160"/>
        </w:tabs>
        <w:ind w:left="2160" w:hanging="360"/>
      </w:pPr>
      <w:rPr>
        <w:rFonts w:ascii="Times New Roman" w:hAnsi="Times New Roman" w:hint="default"/>
      </w:rPr>
    </w:lvl>
    <w:lvl w:ilvl="3" w:tplc="BA88919C" w:tentative="1">
      <w:start w:val="1"/>
      <w:numFmt w:val="bullet"/>
      <w:lvlText w:val="•"/>
      <w:lvlJc w:val="left"/>
      <w:pPr>
        <w:tabs>
          <w:tab w:val="num" w:pos="2880"/>
        </w:tabs>
        <w:ind w:left="2880" w:hanging="360"/>
      </w:pPr>
      <w:rPr>
        <w:rFonts w:ascii="Times New Roman" w:hAnsi="Times New Roman" w:hint="default"/>
      </w:rPr>
    </w:lvl>
    <w:lvl w:ilvl="4" w:tplc="788AD578" w:tentative="1">
      <w:start w:val="1"/>
      <w:numFmt w:val="bullet"/>
      <w:lvlText w:val="•"/>
      <w:lvlJc w:val="left"/>
      <w:pPr>
        <w:tabs>
          <w:tab w:val="num" w:pos="3600"/>
        </w:tabs>
        <w:ind w:left="3600" w:hanging="360"/>
      </w:pPr>
      <w:rPr>
        <w:rFonts w:ascii="Times New Roman" w:hAnsi="Times New Roman" w:hint="default"/>
      </w:rPr>
    </w:lvl>
    <w:lvl w:ilvl="5" w:tplc="DE1C58E8" w:tentative="1">
      <w:start w:val="1"/>
      <w:numFmt w:val="bullet"/>
      <w:lvlText w:val="•"/>
      <w:lvlJc w:val="left"/>
      <w:pPr>
        <w:tabs>
          <w:tab w:val="num" w:pos="4320"/>
        </w:tabs>
        <w:ind w:left="4320" w:hanging="360"/>
      </w:pPr>
      <w:rPr>
        <w:rFonts w:ascii="Times New Roman" w:hAnsi="Times New Roman" w:hint="default"/>
      </w:rPr>
    </w:lvl>
    <w:lvl w:ilvl="6" w:tplc="112890A6" w:tentative="1">
      <w:start w:val="1"/>
      <w:numFmt w:val="bullet"/>
      <w:lvlText w:val="•"/>
      <w:lvlJc w:val="left"/>
      <w:pPr>
        <w:tabs>
          <w:tab w:val="num" w:pos="5040"/>
        </w:tabs>
        <w:ind w:left="5040" w:hanging="360"/>
      </w:pPr>
      <w:rPr>
        <w:rFonts w:ascii="Times New Roman" w:hAnsi="Times New Roman" w:hint="default"/>
      </w:rPr>
    </w:lvl>
    <w:lvl w:ilvl="7" w:tplc="A85AF19C" w:tentative="1">
      <w:start w:val="1"/>
      <w:numFmt w:val="bullet"/>
      <w:lvlText w:val="•"/>
      <w:lvlJc w:val="left"/>
      <w:pPr>
        <w:tabs>
          <w:tab w:val="num" w:pos="5760"/>
        </w:tabs>
        <w:ind w:left="5760" w:hanging="360"/>
      </w:pPr>
      <w:rPr>
        <w:rFonts w:ascii="Times New Roman" w:hAnsi="Times New Roman" w:hint="default"/>
      </w:rPr>
    </w:lvl>
    <w:lvl w:ilvl="8" w:tplc="70BE92C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F232A6"/>
    <w:multiLevelType w:val="hybridMultilevel"/>
    <w:tmpl w:val="86FE4168"/>
    <w:lvl w:ilvl="0" w:tplc="96EA2FA0">
      <w:start w:val="1"/>
      <w:numFmt w:val="bullet"/>
      <w:lvlText w:val="•"/>
      <w:lvlJc w:val="left"/>
      <w:pPr>
        <w:ind w:hanging="284"/>
      </w:pPr>
      <w:rPr>
        <w:rFonts w:ascii="Arial" w:eastAsia="Arial" w:hAnsi="Arial" w:hint="default"/>
        <w:w w:val="131"/>
        <w:sz w:val="22"/>
        <w:szCs w:val="22"/>
      </w:rPr>
    </w:lvl>
    <w:lvl w:ilvl="1" w:tplc="8872EA06">
      <w:start w:val="1"/>
      <w:numFmt w:val="bullet"/>
      <w:lvlText w:val="•"/>
      <w:lvlJc w:val="left"/>
      <w:rPr>
        <w:rFonts w:hint="default"/>
      </w:rPr>
    </w:lvl>
    <w:lvl w:ilvl="2" w:tplc="7038A0C4">
      <w:start w:val="1"/>
      <w:numFmt w:val="bullet"/>
      <w:lvlText w:val="•"/>
      <w:lvlJc w:val="left"/>
      <w:rPr>
        <w:rFonts w:hint="default"/>
      </w:rPr>
    </w:lvl>
    <w:lvl w:ilvl="3" w:tplc="1004B690">
      <w:start w:val="1"/>
      <w:numFmt w:val="bullet"/>
      <w:lvlText w:val="•"/>
      <w:lvlJc w:val="left"/>
      <w:rPr>
        <w:rFonts w:hint="default"/>
      </w:rPr>
    </w:lvl>
    <w:lvl w:ilvl="4" w:tplc="56C6726C">
      <w:start w:val="1"/>
      <w:numFmt w:val="bullet"/>
      <w:lvlText w:val="•"/>
      <w:lvlJc w:val="left"/>
      <w:rPr>
        <w:rFonts w:hint="default"/>
      </w:rPr>
    </w:lvl>
    <w:lvl w:ilvl="5" w:tplc="1A1AA730">
      <w:start w:val="1"/>
      <w:numFmt w:val="bullet"/>
      <w:lvlText w:val="•"/>
      <w:lvlJc w:val="left"/>
      <w:rPr>
        <w:rFonts w:hint="default"/>
      </w:rPr>
    </w:lvl>
    <w:lvl w:ilvl="6" w:tplc="9008E4FA">
      <w:start w:val="1"/>
      <w:numFmt w:val="bullet"/>
      <w:lvlText w:val="•"/>
      <w:lvlJc w:val="left"/>
      <w:rPr>
        <w:rFonts w:hint="default"/>
      </w:rPr>
    </w:lvl>
    <w:lvl w:ilvl="7" w:tplc="D43A3E94">
      <w:start w:val="1"/>
      <w:numFmt w:val="bullet"/>
      <w:lvlText w:val="•"/>
      <w:lvlJc w:val="left"/>
      <w:rPr>
        <w:rFonts w:hint="default"/>
      </w:rPr>
    </w:lvl>
    <w:lvl w:ilvl="8" w:tplc="02B0693C">
      <w:start w:val="1"/>
      <w:numFmt w:val="bullet"/>
      <w:lvlText w:val="•"/>
      <w:lvlJc w:val="left"/>
      <w:rPr>
        <w:rFonts w:hint="default"/>
      </w:rPr>
    </w:lvl>
  </w:abstractNum>
  <w:abstractNum w:abstractNumId="39">
    <w:nsid w:val="6E9214FE"/>
    <w:multiLevelType w:val="hybridMultilevel"/>
    <w:tmpl w:val="109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1518AB"/>
    <w:multiLevelType w:val="hybridMultilevel"/>
    <w:tmpl w:val="3488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9F5104"/>
    <w:multiLevelType w:val="hybridMultilevel"/>
    <w:tmpl w:val="9C502152"/>
    <w:lvl w:ilvl="0" w:tplc="08090001">
      <w:start w:val="1"/>
      <w:numFmt w:val="bullet"/>
      <w:lvlText w:val=""/>
      <w:lvlJc w:val="left"/>
      <w:pPr>
        <w:ind w:hanging="360"/>
      </w:pPr>
      <w:rPr>
        <w:rFonts w:ascii="Symbol" w:hAnsi="Symbol" w:hint="default"/>
        <w:spacing w:val="2"/>
        <w:sz w:val="22"/>
        <w:szCs w:val="22"/>
      </w:rPr>
    </w:lvl>
    <w:lvl w:ilvl="1" w:tplc="08090001">
      <w:start w:val="1"/>
      <w:numFmt w:val="bullet"/>
      <w:lvlText w:val=""/>
      <w:lvlJc w:val="left"/>
      <w:rPr>
        <w:rFonts w:ascii="Symbol" w:hAnsi="Symbol" w:hint="default"/>
      </w:rPr>
    </w:lvl>
    <w:lvl w:ilvl="2" w:tplc="5790A02C">
      <w:start w:val="1"/>
      <w:numFmt w:val="bullet"/>
      <w:lvlText w:val="•"/>
      <w:lvlJc w:val="left"/>
      <w:rPr>
        <w:rFonts w:hint="default"/>
      </w:rPr>
    </w:lvl>
    <w:lvl w:ilvl="3" w:tplc="44587704">
      <w:start w:val="1"/>
      <w:numFmt w:val="bullet"/>
      <w:lvlText w:val="•"/>
      <w:lvlJc w:val="left"/>
      <w:rPr>
        <w:rFonts w:hint="default"/>
      </w:rPr>
    </w:lvl>
    <w:lvl w:ilvl="4" w:tplc="6548F6BA">
      <w:start w:val="1"/>
      <w:numFmt w:val="bullet"/>
      <w:lvlText w:val="•"/>
      <w:lvlJc w:val="left"/>
      <w:rPr>
        <w:rFonts w:hint="default"/>
      </w:rPr>
    </w:lvl>
    <w:lvl w:ilvl="5" w:tplc="CF127C06">
      <w:start w:val="1"/>
      <w:numFmt w:val="bullet"/>
      <w:lvlText w:val="•"/>
      <w:lvlJc w:val="left"/>
      <w:rPr>
        <w:rFonts w:hint="default"/>
      </w:rPr>
    </w:lvl>
    <w:lvl w:ilvl="6" w:tplc="6D5CBB66">
      <w:start w:val="1"/>
      <w:numFmt w:val="bullet"/>
      <w:lvlText w:val="•"/>
      <w:lvlJc w:val="left"/>
      <w:rPr>
        <w:rFonts w:hint="default"/>
      </w:rPr>
    </w:lvl>
    <w:lvl w:ilvl="7" w:tplc="CA6AE968">
      <w:start w:val="1"/>
      <w:numFmt w:val="bullet"/>
      <w:lvlText w:val="•"/>
      <w:lvlJc w:val="left"/>
      <w:rPr>
        <w:rFonts w:hint="default"/>
      </w:rPr>
    </w:lvl>
    <w:lvl w:ilvl="8" w:tplc="CE38B922">
      <w:start w:val="1"/>
      <w:numFmt w:val="bullet"/>
      <w:lvlText w:val="•"/>
      <w:lvlJc w:val="left"/>
      <w:rPr>
        <w:rFonts w:hint="default"/>
      </w:rPr>
    </w:lvl>
  </w:abstractNum>
  <w:abstractNum w:abstractNumId="42">
    <w:nsid w:val="7A3C2C4F"/>
    <w:multiLevelType w:val="multilevel"/>
    <w:tmpl w:val="4242581A"/>
    <w:lvl w:ilvl="0">
      <w:start w:val="4"/>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2"/>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27"/>
  </w:num>
  <w:num w:numId="3">
    <w:abstractNumId w:val="35"/>
  </w:num>
  <w:num w:numId="4">
    <w:abstractNumId w:val="2"/>
  </w:num>
  <w:num w:numId="5">
    <w:abstractNumId w:val="28"/>
  </w:num>
  <w:num w:numId="6">
    <w:abstractNumId w:val="9"/>
  </w:num>
  <w:num w:numId="7">
    <w:abstractNumId w:val="5"/>
  </w:num>
  <w:num w:numId="8">
    <w:abstractNumId w:val="4"/>
  </w:num>
  <w:num w:numId="9">
    <w:abstractNumId w:val="12"/>
  </w:num>
  <w:num w:numId="10">
    <w:abstractNumId w:val="8"/>
  </w:num>
  <w:num w:numId="11">
    <w:abstractNumId w:val="30"/>
  </w:num>
  <w:num w:numId="12">
    <w:abstractNumId w:val="1"/>
  </w:num>
  <w:num w:numId="13">
    <w:abstractNumId w:val="10"/>
  </w:num>
  <w:num w:numId="14">
    <w:abstractNumId w:val="39"/>
  </w:num>
  <w:num w:numId="15">
    <w:abstractNumId w:val="25"/>
  </w:num>
  <w:num w:numId="16">
    <w:abstractNumId w:val="20"/>
  </w:num>
  <w:num w:numId="17">
    <w:abstractNumId w:val="18"/>
  </w:num>
  <w:num w:numId="18">
    <w:abstractNumId w:val="23"/>
  </w:num>
  <w:num w:numId="19">
    <w:abstractNumId w:val="13"/>
  </w:num>
  <w:num w:numId="20">
    <w:abstractNumId w:val="14"/>
  </w:num>
  <w:num w:numId="21">
    <w:abstractNumId w:val="7"/>
  </w:num>
  <w:num w:numId="22">
    <w:abstractNumId w:val="38"/>
  </w:num>
  <w:num w:numId="23">
    <w:abstractNumId w:val="32"/>
  </w:num>
  <w:num w:numId="24">
    <w:abstractNumId w:val="24"/>
  </w:num>
  <w:num w:numId="25">
    <w:abstractNumId w:val="42"/>
  </w:num>
  <w:num w:numId="26">
    <w:abstractNumId w:val="26"/>
  </w:num>
  <w:num w:numId="27">
    <w:abstractNumId w:val="15"/>
  </w:num>
  <w:num w:numId="28">
    <w:abstractNumId w:val="0"/>
  </w:num>
  <w:num w:numId="29">
    <w:abstractNumId w:val="40"/>
  </w:num>
  <w:num w:numId="30">
    <w:abstractNumId w:val="17"/>
  </w:num>
  <w:num w:numId="31">
    <w:abstractNumId w:val="19"/>
  </w:num>
  <w:num w:numId="32">
    <w:abstractNumId w:val="29"/>
  </w:num>
  <w:num w:numId="33">
    <w:abstractNumId w:val="36"/>
  </w:num>
  <w:num w:numId="34">
    <w:abstractNumId w:val="34"/>
  </w:num>
  <w:num w:numId="35">
    <w:abstractNumId w:val="33"/>
  </w:num>
  <w:num w:numId="36">
    <w:abstractNumId w:val="31"/>
  </w:num>
  <w:num w:numId="37">
    <w:abstractNumId w:val="21"/>
  </w:num>
  <w:num w:numId="38">
    <w:abstractNumId w:val="6"/>
  </w:num>
  <w:num w:numId="39">
    <w:abstractNumId w:val="41"/>
  </w:num>
  <w:num w:numId="40">
    <w:abstractNumId w:val="11"/>
  </w:num>
  <w:num w:numId="41">
    <w:abstractNumId w:val="16"/>
  </w:num>
  <w:num w:numId="42">
    <w:abstractNumId w:val="3"/>
  </w:num>
  <w:num w:numId="43">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84"/>
    <w:rsid w:val="0000275B"/>
    <w:rsid w:val="00005BEB"/>
    <w:rsid w:val="0002134B"/>
    <w:rsid w:val="000223A8"/>
    <w:rsid w:val="000229E7"/>
    <w:rsid w:val="00032075"/>
    <w:rsid w:val="00036298"/>
    <w:rsid w:val="00036ACA"/>
    <w:rsid w:val="00037F3F"/>
    <w:rsid w:val="00043D50"/>
    <w:rsid w:val="00044788"/>
    <w:rsid w:val="000476EB"/>
    <w:rsid w:val="00051D5E"/>
    <w:rsid w:val="000557E5"/>
    <w:rsid w:val="00061005"/>
    <w:rsid w:val="000631D3"/>
    <w:rsid w:val="00067D7D"/>
    <w:rsid w:val="000723A5"/>
    <w:rsid w:val="00073C20"/>
    <w:rsid w:val="00076A7D"/>
    <w:rsid w:val="0008461A"/>
    <w:rsid w:val="000A7587"/>
    <w:rsid w:val="000B2720"/>
    <w:rsid w:val="000B629D"/>
    <w:rsid w:val="000B7BAA"/>
    <w:rsid w:val="000C0314"/>
    <w:rsid w:val="000C3194"/>
    <w:rsid w:val="000D179B"/>
    <w:rsid w:val="000F4794"/>
    <w:rsid w:val="001043E3"/>
    <w:rsid w:val="0010670D"/>
    <w:rsid w:val="00120B7C"/>
    <w:rsid w:val="00121247"/>
    <w:rsid w:val="001348BA"/>
    <w:rsid w:val="001432C4"/>
    <w:rsid w:val="00146C32"/>
    <w:rsid w:val="00147DAD"/>
    <w:rsid w:val="00154159"/>
    <w:rsid w:val="00157BA8"/>
    <w:rsid w:val="001600D7"/>
    <w:rsid w:val="0016285E"/>
    <w:rsid w:val="00163FBE"/>
    <w:rsid w:val="00164DD8"/>
    <w:rsid w:val="00177AF0"/>
    <w:rsid w:val="00182EC8"/>
    <w:rsid w:val="00184A3A"/>
    <w:rsid w:val="00194115"/>
    <w:rsid w:val="00195EF9"/>
    <w:rsid w:val="001A3A88"/>
    <w:rsid w:val="001A40E3"/>
    <w:rsid w:val="001C1F23"/>
    <w:rsid w:val="001C59D5"/>
    <w:rsid w:val="001D1DF4"/>
    <w:rsid w:val="001D1E02"/>
    <w:rsid w:val="001D255B"/>
    <w:rsid w:val="001E3A18"/>
    <w:rsid w:val="001F30DF"/>
    <w:rsid w:val="001F313E"/>
    <w:rsid w:val="001F4BBE"/>
    <w:rsid w:val="001F534D"/>
    <w:rsid w:val="001F6F5A"/>
    <w:rsid w:val="00204BC7"/>
    <w:rsid w:val="002101A5"/>
    <w:rsid w:val="00214E3A"/>
    <w:rsid w:val="0022049D"/>
    <w:rsid w:val="00225E51"/>
    <w:rsid w:val="00226CC3"/>
    <w:rsid w:val="00233F01"/>
    <w:rsid w:val="00234265"/>
    <w:rsid w:val="00240AB5"/>
    <w:rsid w:val="0024230A"/>
    <w:rsid w:val="002425FB"/>
    <w:rsid w:val="00250E87"/>
    <w:rsid w:val="00252BFB"/>
    <w:rsid w:val="0025321B"/>
    <w:rsid w:val="002618E2"/>
    <w:rsid w:val="00265F22"/>
    <w:rsid w:val="002704B6"/>
    <w:rsid w:val="00292C56"/>
    <w:rsid w:val="002A29CE"/>
    <w:rsid w:val="002A47A1"/>
    <w:rsid w:val="002B3B0E"/>
    <w:rsid w:val="002C50CB"/>
    <w:rsid w:val="002D2FA9"/>
    <w:rsid w:val="002D785A"/>
    <w:rsid w:val="002E4C4F"/>
    <w:rsid w:val="002E5E3A"/>
    <w:rsid w:val="002E6106"/>
    <w:rsid w:val="002F70CE"/>
    <w:rsid w:val="003024BE"/>
    <w:rsid w:val="00302CC8"/>
    <w:rsid w:val="003069DA"/>
    <w:rsid w:val="00307072"/>
    <w:rsid w:val="003074F8"/>
    <w:rsid w:val="003308BE"/>
    <w:rsid w:val="00333753"/>
    <w:rsid w:val="003422EA"/>
    <w:rsid w:val="00352D44"/>
    <w:rsid w:val="0035767A"/>
    <w:rsid w:val="003643F6"/>
    <w:rsid w:val="003670AA"/>
    <w:rsid w:val="00383E25"/>
    <w:rsid w:val="00390EC8"/>
    <w:rsid w:val="003931C9"/>
    <w:rsid w:val="00394494"/>
    <w:rsid w:val="003A06C2"/>
    <w:rsid w:val="003A1BF4"/>
    <w:rsid w:val="003B41EB"/>
    <w:rsid w:val="003C465E"/>
    <w:rsid w:val="003C5C99"/>
    <w:rsid w:val="003D1A71"/>
    <w:rsid w:val="003D2161"/>
    <w:rsid w:val="003D227E"/>
    <w:rsid w:val="003D6BE3"/>
    <w:rsid w:val="003E1251"/>
    <w:rsid w:val="003E2687"/>
    <w:rsid w:val="003E3CD5"/>
    <w:rsid w:val="003E3EA2"/>
    <w:rsid w:val="003E5D0E"/>
    <w:rsid w:val="003F0BEC"/>
    <w:rsid w:val="003F17B3"/>
    <w:rsid w:val="003F6010"/>
    <w:rsid w:val="00421C84"/>
    <w:rsid w:val="004231B6"/>
    <w:rsid w:val="00426AB1"/>
    <w:rsid w:val="00427820"/>
    <w:rsid w:val="004306E6"/>
    <w:rsid w:val="00430D02"/>
    <w:rsid w:val="00434F6C"/>
    <w:rsid w:val="004413D0"/>
    <w:rsid w:val="00442C93"/>
    <w:rsid w:val="00445AD4"/>
    <w:rsid w:val="00451A60"/>
    <w:rsid w:val="00454893"/>
    <w:rsid w:val="00454D40"/>
    <w:rsid w:val="004558CF"/>
    <w:rsid w:val="00460B33"/>
    <w:rsid w:val="004635A9"/>
    <w:rsid w:val="0047163A"/>
    <w:rsid w:val="00473CEC"/>
    <w:rsid w:val="00490FE9"/>
    <w:rsid w:val="00491DAC"/>
    <w:rsid w:val="00492B88"/>
    <w:rsid w:val="0049427F"/>
    <w:rsid w:val="0049639C"/>
    <w:rsid w:val="004A21C1"/>
    <w:rsid w:val="004B0A37"/>
    <w:rsid w:val="004B263B"/>
    <w:rsid w:val="004B7B8D"/>
    <w:rsid w:val="004D215A"/>
    <w:rsid w:val="004D216B"/>
    <w:rsid w:val="004D4742"/>
    <w:rsid w:val="004E74A4"/>
    <w:rsid w:val="004F5DF6"/>
    <w:rsid w:val="004F675E"/>
    <w:rsid w:val="005034B7"/>
    <w:rsid w:val="00504BDD"/>
    <w:rsid w:val="0051083D"/>
    <w:rsid w:val="00511A8F"/>
    <w:rsid w:val="0052410E"/>
    <w:rsid w:val="00527065"/>
    <w:rsid w:val="005272D1"/>
    <w:rsid w:val="0053748C"/>
    <w:rsid w:val="00540E84"/>
    <w:rsid w:val="005461F8"/>
    <w:rsid w:val="00562A6E"/>
    <w:rsid w:val="00562BA2"/>
    <w:rsid w:val="005755B6"/>
    <w:rsid w:val="00580A37"/>
    <w:rsid w:val="005853A5"/>
    <w:rsid w:val="00591F00"/>
    <w:rsid w:val="005971D6"/>
    <w:rsid w:val="005A1959"/>
    <w:rsid w:val="005B0174"/>
    <w:rsid w:val="005C5C74"/>
    <w:rsid w:val="005D1DDD"/>
    <w:rsid w:val="005D6021"/>
    <w:rsid w:val="005E4CFA"/>
    <w:rsid w:val="005E71B2"/>
    <w:rsid w:val="00605F6E"/>
    <w:rsid w:val="00606C3B"/>
    <w:rsid w:val="006105C4"/>
    <w:rsid w:val="0061142D"/>
    <w:rsid w:val="00614352"/>
    <w:rsid w:val="00621BDC"/>
    <w:rsid w:val="00622D63"/>
    <w:rsid w:val="006251F4"/>
    <w:rsid w:val="00626697"/>
    <w:rsid w:val="006268DD"/>
    <w:rsid w:val="00632B85"/>
    <w:rsid w:val="00637EEC"/>
    <w:rsid w:val="00650B5B"/>
    <w:rsid w:val="00656299"/>
    <w:rsid w:val="00662C5C"/>
    <w:rsid w:val="00665129"/>
    <w:rsid w:val="00670B8B"/>
    <w:rsid w:val="006827BD"/>
    <w:rsid w:val="00687999"/>
    <w:rsid w:val="00690EB2"/>
    <w:rsid w:val="00693AEF"/>
    <w:rsid w:val="006A06F3"/>
    <w:rsid w:val="006A1378"/>
    <w:rsid w:val="006A5690"/>
    <w:rsid w:val="006A6DF1"/>
    <w:rsid w:val="006B327F"/>
    <w:rsid w:val="006B4736"/>
    <w:rsid w:val="006C60C1"/>
    <w:rsid w:val="006D3901"/>
    <w:rsid w:val="006D4960"/>
    <w:rsid w:val="006E5E3D"/>
    <w:rsid w:val="006E6E0E"/>
    <w:rsid w:val="006E748C"/>
    <w:rsid w:val="00702DAC"/>
    <w:rsid w:val="00712067"/>
    <w:rsid w:val="00714971"/>
    <w:rsid w:val="00714B45"/>
    <w:rsid w:val="007171D2"/>
    <w:rsid w:val="00721316"/>
    <w:rsid w:val="00723378"/>
    <w:rsid w:val="007347B2"/>
    <w:rsid w:val="00743469"/>
    <w:rsid w:val="00755536"/>
    <w:rsid w:val="0076052E"/>
    <w:rsid w:val="0076682A"/>
    <w:rsid w:val="0077238D"/>
    <w:rsid w:val="007762EE"/>
    <w:rsid w:val="00780B75"/>
    <w:rsid w:val="00785491"/>
    <w:rsid w:val="007864A2"/>
    <w:rsid w:val="00786BAD"/>
    <w:rsid w:val="00792288"/>
    <w:rsid w:val="00792C04"/>
    <w:rsid w:val="007938F6"/>
    <w:rsid w:val="00795DF8"/>
    <w:rsid w:val="00797F96"/>
    <w:rsid w:val="007A1D6C"/>
    <w:rsid w:val="007A2DDD"/>
    <w:rsid w:val="007A4166"/>
    <w:rsid w:val="007A45A4"/>
    <w:rsid w:val="007A6C38"/>
    <w:rsid w:val="007B1422"/>
    <w:rsid w:val="007C0418"/>
    <w:rsid w:val="007C624B"/>
    <w:rsid w:val="007C7448"/>
    <w:rsid w:val="007D0F60"/>
    <w:rsid w:val="007E58E6"/>
    <w:rsid w:val="007E7984"/>
    <w:rsid w:val="007F180C"/>
    <w:rsid w:val="007F428E"/>
    <w:rsid w:val="007F689B"/>
    <w:rsid w:val="00801910"/>
    <w:rsid w:val="008121D1"/>
    <w:rsid w:val="00812EE7"/>
    <w:rsid w:val="00815786"/>
    <w:rsid w:val="00823871"/>
    <w:rsid w:val="00824E46"/>
    <w:rsid w:val="0083136A"/>
    <w:rsid w:val="00834F39"/>
    <w:rsid w:val="00841786"/>
    <w:rsid w:val="008437A3"/>
    <w:rsid w:val="00844994"/>
    <w:rsid w:val="008613E0"/>
    <w:rsid w:val="00861FBA"/>
    <w:rsid w:val="00863C16"/>
    <w:rsid w:val="00882689"/>
    <w:rsid w:val="00890219"/>
    <w:rsid w:val="0089056C"/>
    <w:rsid w:val="00890C23"/>
    <w:rsid w:val="00891F2B"/>
    <w:rsid w:val="00893127"/>
    <w:rsid w:val="00893BA1"/>
    <w:rsid w:val="008A50B0"/>
    <w:rsid w:val="008B416D"/>
    <w:rsid w:val="008B4778"/>
    <w:rsid w:val="008B7AB1"/>
    <w:rsid w:val="008C0A37"/>
    <w:rsid w:val="008C1B92"/>
    <w:rsid w:val="008C594E"/>
    <w:rsid w:val="008D1FF1"/>
    <w:rsid w:val="008D2B56"/>
    <w:rsid w:val="008D4D66"/>
    <w:rsid w:val="008D60D8"/>
    <w:rsid w:val="008E2E5A"/>
    <w:rsid w:val="008E43A6"/>
    <w:rsid w:val="008E7042"/>
    <w:rsid w:val="008F31FC"/>
    <w:rsid w:val="008F3836"/>
    <w:rsid w:val="00904DDE"/>
    <w:rsid w:val="00905813"/>
    <w:rsid w:val="00914F72"/>
    <w:rsid w:val="009211F3"/>
    <w:rsid w:val="00921867"/>
    <w:rsid w:val="009235F4"/>
    <w:rsid w:val="00924FF3"/>
    <w:rsid w:val="0093453B"/>
    <w:rsid w:val="00937DE8"/>
    <w:rsid w:val="00940D75"/>
    <w:rsid w:val="00943720"/>
    <w:rsid w:val="009577B7"/>
    <w:rsid w:val="00965847"/>
    <w:rsid w:val="00975A72"/>
    <w:rsid w:val="00980A8A"/>
    <w:rsid w:val="009819F9"/>
    <w:rsid w:val="00990770"/>
    <w:rsid w:val="00990878"/>
    <w:rsid w:val="00992653"/>
    <w:rsid w:val="009936AD"/>
    <w:rsid w:val="00993C18"/>
    <w:rsid w:val="0099615E"/>
    <w:rsid w:val="009A2BD9"/>
    <w:rsid w:val="009A4162"/>
    <w:rsid w:val="009B0DD7"/>
    <w:rsid w:val="009B216F"/>
    <w:rsid w:val="009B51F7"/>
    <w:rsid w:val="009C08C7"/>
    <w:rsid w:val="009C4171"/>
    <w:rsid w:val="009C48DB"/>
    <w:rsid w:val="009D3A83"/>
    <w:rsid w:val="009D6AEA"/>
    <w:rsid w:val="009E1F10"/>
    <w:rsid w:val="009E488F"/>
    <w:rsid w:val="009E4945"/>
    <w:rsid w:val="009E6143"/>
    <w:rsid w:val="009E6B9C"/>
    <w:rsid w:val="009F031F"/>
    <w:rsid w:val="009F1678"/>
    <w:rsid w:val="009F267E"/>
    <w:rsid w:val="009F4393"/>
    <w:rsid w:val="00A0104D"/>
    <w:rsid w:val="00A01299"/>
    <w:rsid w:val="00A01B6D"/>
    <w:rsid w:val="00A04ADA"/>
    <w:rsid w:val="00A04C3E"/>
    <w:rsid w:val="00A13EBC"/>
    <w:rsid w:val="00A14FE7"/>
    <w:rsid w:val="00A23C8F"/>
    <w:rsid w:val="00A24340"/>
    <w:rsid w:val="00A300A2"/>
    <w:rsid w:val="00A33F55"/>
    <w:rsid w:val="00A57B70"/>
    <w:rsid w:val="00A65960"/>
    <w:rsid w:val="00A670E5"/>
    <w:rsid w:val="00A8312F"/>
    <w:rsid w:val="00A83852"/>
    <w:rsid w:val="00A8513C"/>
    <w:rsid w:val="00A93B32"/>
    <w:rsid w:val="00AA5752"/>
    <w:rsid w:val="00AB1ACC"/>
    <w:rsid w:val="00AB23C7"/>
    <w:rsid w:val="00AB475D"/>
    <w:rsid w:val="00AB5552"/>
    <w:rsid w:val="00AC4636"/>
    <w:rsid w:val="00AC6E92"/>
    <w:rsid w:val="00AD2A01"/>
    <w:rsid w:val="00AF1357"/>
    <w:rsid w:val="00AF6116"/>
    <w:rsid w:val="00B36B14"/>
    <w:rsid w:val="00B430DA"/>
    <w:rsid w:val="00B50A8D"/>
    <w:rsid w:val="00B547D8"/>
    <w:rsid w:val="00B569FA"/>
    <w:rsid w:val="00B6646B"/>
    <w:rsid w:val="00B714B3"/>
    <w:rsid w:val="00B74FC4"/>
    <w:rsid w:val="00B75AD0"/>
    <w:rsid w:val="00B76AB4"/>
    <w:rsid w:val="00B83A1E"/>
    <w:rsid w:val="00B85BBD"/>
    <w:rsid w:val="00B868BA"/>
    <w:rsid w:val="00B926A1"/>
    <w:rsid w:val="00B92821"/>
    <w:rsid w:val="00B945F3"/>
    <w:rsid w:val="00BA2D65"/>
    <w:rsid w:val="00BA5896"/>
    <w:rsid w:val="00BA5C25"/>
    <w:rsid w:val="00BA63E9"/>
    <w:rsid w:val="00BB18B6"/>
    <w:rsid w:val="00BB2D69"/>
    <w:rsid w:val="00BB675E"/>
    <w:rsid w:val="00BC1B04"/>
    <w:rsid w:val="00BC6A16"/>
    <w:rsid w:val="00BC7911"/>
    <w:rsid w:val="00BE0D99"/>
    <w:rsid w:val="00BE45B8"/>
    <w:rsid w:val="00BF7325"/>
    <w:rsid w:val="00C01AEC"/>
    <w:rsid w:val="00C14421"/>
    <w:rsid w:val="00C15461"/>
    <w:rsid w:val="00C17AF5"/>
    <w:rsid w:val="00C23362"/>
    <w:rsid w:val="00C23566"/>
    <w:rsid w:val="00C31B9C"/>
    <w:rsid w:val="00C41354"/>
    <w:rsid w:val="00C43844"/>
    <w:rsid w:val="00C45EEF"/>
    <w:rsid w:val="00C52082"/>
    <w:rsid w:val="00C52129"/>
    <w:rsid w:val="00C56836"/>
    <w:rsid w:val="00C574C2"/>
    <w:rsid w:val="00C61041"/>
    <w:rsid w:val="00C61FFD"/>
    <w:rsid w:val="00C74603"/>
    <w:rsid w:val="00C75970"/>
    <w:rsid w:val="00C75EDF"/>
    <w:rsid w:val="00C8660A"/>
    <w:rsid w:val="00C874B7"/>
    <w:rsid w:val="00C94D4E"/>
    <w:rsid w:val="00CA09F9"/>
    <w:rsid w:val="00CA34FD"/>
    <w:rsid w:val="00CA3CB6"/>
    <w:rsid w:val="00CA45EE"/>
    <w:rsid w:val="00CA6189"/>
    <w:rsid w:val="00CA7398"/>
    <w:rsid w:val="00CC1DEE"/>
    <w:rsid w:val="00CC51F8"/>
    <w:rsid w:val="00CC5621"/>
    <w:rsid w:val="00CC6871"/>
    <w:rsid w:val="00CD0678"/>
    <w:rsid w:val="00CD1884"/>
    <w:rsid w:val="00CD32E8"/>
    <w:rsid w:val="00CD3EBF"/>
    <w:rsid w:val="00CD5FEC"/>
    <w:rsid w:val="00CE0C65"/>
    <w:rsid w:val="00CE6891"/>
    <w:rsid w:val="00CF19A0"/>
    <w:rsid w:val="00D13176"/>
    <w:rsid w:val="00D17170"/>
    <w:rsid w:val="00D21880"/>
    <w:rsid w:val="00D3444C"/>
    <w:rsid w:val="00D357DE"/>
    <w:rsid w:val="00D35F33"/>
    <w:rsid w:val="00D444B1"/>
    <w:rsid w:val="00D46188"/>
    <w:rsid w:val="00D51408"/>
    <w:rsid w:val="00D57C16"/>
    <w:rsid w:val="00D62012"/>
    <w:rsid w:val="00D63A38"/>
    <w:rsid w:val="00D661D2"/>
    <w:rsid w:val="00D73FED"/>
    <w:rsid w:val="00D75D4C"/>
    <w:rsid w:val="00D81873"/>
    <w:rsid w:val="00D82050"/>
    <w:rsid w:val="00D8452E"/>
    <w:rsid w:val="00D87D6F"/>
    <w:rsid w:val="00D952B4"/>
    <w:rsid w:val="00D9549C"/>
    <w:rsid w:val="00D964E3"/>
    <w:rsid w:val="00DA162A"/>
    <w:rsid w:val="00DA43E4"/>
    <w:rsid w:val="00DB4C04"/>
    <w:rsid w:val="00DB506D"/>
    <w:rsid w:val="00DD0F9B"/>
    <w:rsid w:val="00DD18E9"/>
    <w:rsid w:val="00DD3F9D"/>
    <w:rsid w:val="00DE626C"/>
    <w:rsid w:val="00DE706C"/>
    <w:rsid w:val="00DF364D"/>
    <w:rsid w:val="00E03F97"/>
    <w:rsid w:val="00E126C2"/>
    <w:rsid w:val="00E14849"/>
    <w:rsid w:val="00E177EA"/>
    <w:rsid w:val="00E32414"/>
    <w:rsid w:val="00E32911"/>
    <w:rsid w:val="00E33F18"/>
    <w:rsid w:val="00E346ED"/>
    <w:rsid w:val="00E37637"/>
    <w:rsid w:val="00E4058D"/>
    <w:rsid w:val="00E50273"/>
    <w:rsid w:val="00E518D1"/>
    <w:rsid w:val="00E539B1"/>
    <w:rsid w:val="00E66649"/>
    <w:rsid w:val="00E71304"/>
    <w:rsid w:val="00E72D31"/>
    <w:rsid w:val="00E7335F"/>
    <w:rsid w:val="00E73CA1"/>
    <w:rsid w:val="00E753FB"/>
    <w:rsid w:val="00E953C1"/>
    <w:rsid w:val="00E97213"/>
    <w:rsid w:val="00E972D4"/>
    <w:rsid w:val="00EA08AA"/>
    <w:rsid w:val="00EA3C05"/>
    <w:rsid w:val="00EB42FD"/>
    <w:rsid w:val="00EC0184"/>
    <w:rsid w:val="00EC6B18"/>
    <w:rsid w:val="00EC79E1"/>
    <w:rsid w:val="00EE384C"/>
    <w:rsid w:val="00EE70D4"/>
    <w:rsid w:val="00EF02E2"/>
    <w:rsid w:val="00EF0870"/>
    <w:rsid w:val="00EF09D7"/>
    <w:rsid w:val="00EF640B"/>
    <w:rsid w:val="00EF7F8F"/>
    <w:rsid w:val="00F02854"/>
    <w:rsid w:val="00F03B8D"/>
    <w:rsid w:val="00F05075"/>
    <w:rsid w:val="00F05C4F"/>
    <w:rsid w:val="00F06C31"/>
    <w:rsid w:val="00F1026D"/>
    <w:rsid w:val="00F125C0"/>
    <w:rsid w:val="00F221EC"/>
    <w:rsid w:val="00F24A2B"/>
    <w:rsid w:val="00F44531"/>
    <w:rsid w:val="00F4589D"/>
    <w:rsid w:val="00F509CD"/>
    <w:rsid w:val="00F51570"/>
    <w:rsid w:val="00F56513"/>
    <w:rsid w:val="00F56BB9"/>
    <w:rsid w:val="00F56E38"/>
    <w:rsid w:val="00F65BFB"/>
    <w:rsid w:val="00F679B5"/>
    <w:rsid w:val="00F70B3F"/>
    <w:rsid w:val="00F75EAE"/>
    <w:rsid w:val="00F81089"/>
    <w:rsid w:val="00F82E06"/>
    <w:rsid w:val="00F83290"/>
    <w:rsid w:val="00F93E25"/>
    <w:rsid w:val="00F94C9B"/>
    <w:rsid w:val="00FA0EF1"/>
    <w:rsid w:val="00FB33AC"/>
    <w:rsid w:val="00FB4A56"/>
    <w:rsid w:val="00FB4C11"/>
    <w:rsid w:val="00FB718F"/>
    <w:rsid w:val="00FC4275"/>
    <w:rsid w:val="00FC7F8A"/>
    <w:rsid w:val="00FD56BF"/>
    <w:rsid w:val="00FD62C1"/>
    <w:rsid w:val="00FE1A22"/>
    <w:rsid w:val="00FE66B1"/>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1"/>
    <w:qFormat/>
    <w:pPr>
      <w:keepNext/>
      <w:jc w:val="right"/>
      <w:outlineLvl w:val="0"/>
    </w:pPr>
    <w:rPr>
      <w:b/>
      <w:u w:val="single"/>
    </w:rPr>
  </w:style>
  <w:style w:type="paragraph" w:styleId="Heading2">
    <w:name w:val="heading 2"/>
    <w:basedOn w:val="Normal"/>
    <w:next w:val="Normal"/>
    <w:link w:val="Heading2Char"/>
    <w:uiPriority w:val="9"/>
    <w:qFormat/>
    <w:pPr>
      <w:keepNext/>
      <w:jc w:val="center"/>
      <w:outlineLvl w:val="1"/>
    </w:pPr>
    <w:rPr>
      <w:rFonts w:ascii="Arial" w:hAnsi="Arial"/>
      <w:b/>
      <w:sz w:val="22"/>
    </w:rPr>
  </w:style>
  <w:style w:type="paragraph" w:styleId="Heading4">
    <w:name w:val="heading 4"/>
    <w:basedOn w:val="Normal"/>
    <w:next w:val="Normal"/>
    <w:link w:val="Heading4Char"/>
    <w:uiPriority w:val="9"/>
    <w:qFormat/>
    <w:rsid w:val="006143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9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97192"/>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697192"/>
    <w:rPr>
      <w:rFonts w:asciiTheme="minorHAnsi" w:eastAsiaTheme="minorEastAsia" w:hAnsiTheme="minorHAnsi" w:cstheme="minorBidi"/>
      <w:b/>
      <w:bCs/>
      <w:sz w:val="28"/>
      <w:szCs w:val="2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semiHidden/>
    <w:rsid w:val="00697192"/>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697192"/>
    <w:rPr>
      <w:sz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567"/>
      </w:tabs>
      <w:ind w:left="540" w:hanging="540"/>
      <w:jc w:val="both"/>
    </w:pPr>
  </w:style>
  <w:style w:type="character" w:customStyle="1" w:styleId="BodyTextIndentChar">
    <w:name w:val="Body Text Indent Char"/>
    <w:basedOn w:val="DefaultParagraphFont"/>
    <w:link w:val="BodyTextIndent"/>
    <w:uiPriority w:val="99"/>
    <w:semiHidden/>
    <w:rsid w:val="00697192"/>
    <w:rPr>
      <w:sz w:val="24"/>
      <w:lang w:eastAsia="en-US"/>
    </w:rPr>
  </w:style>
  <w:style w:type="paragraph" w:styleId="BodyTextIndent2">
    <w:name w:val="Body Text Indent 2"/>
    <w:basedOn w:val="Normal"/>
    <w:link w:val="BodyTextIndent2Char"/>
    <w:uiPriority w:val="99"/>
    <w:pPr>
      <w:ind w:left="567" w:hanging="567"/>
      <w:jc w:val="both"/>
    </w:pPr>
  </w:style>
  <w:style w:type="character" w:customStyle="1" w:styleId="BodyTextIndent2Char">
    <w:name w:val="Body Text Indent 2 Char"/>
    <w:basedOn w:val="DefaultParagraphFont"/>
    <w:link w:val="BodyTextIndent2"/>
    <w:uiPriority w:val="99"/>
    <w:semiHidden/>
    <w:rsid w:val="00697192"/>
    <w:rPr>
      <w:sz w:val="24"/>
      <w:lang w:eastAsia="en-US"/>
    </w:rPr>
  </w:style>
  <w:style w:type="paragraph" w:styleId="BodyTextIndent3">
    <w:name w:val="Body Text Indent 3"/>
    <w:basedOn w:val="Normal"/>
    <w:link w:val="BodyTextIndent3Char"/>
    <w:uiPriority w:val="99"/>
    <w:pPr>
      <w:tabs>
        <w:tab w:val="left" w:pos="567"/>
      </w:tabs>
      <w:ind w:left="1134" w:hanging="1134"/>
      <w:jc w:val="both"/>
    </w:pPr>
  </w:style>
  <w:style w:type="character" w:customStyle="1" w:styleId="BodyTextIndent3Char">
    <w:name w:val="Body Text Indent 3 Char"/>
    <w:basedOn w:val="DefaultParagraphFont"/>
    <w:link w:val="BodyTextIndent3"/>
    <w:uiPriority w:val="99"/>
    <w:semiHidden/>
    <w:rsid w:val="00697192"/>
    <w:rPr>
      <w:sz w:val="16"/>
      <w:szCs w:val="16"/>
      <w:lang w:eastAsia="en-US"/>
    </w:rPr>
  </w:style>
  <w:style w:type="table" w:styleId="TableGrid">
    <w:name w:val="Table Grid"/>
    <w:basedOn w:val="TableNormal"/>
    <w:uiPriority w:val="59"/>
    <w:rsid w:val="00E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4352"/>
    <w:pPr>
      <w:jc w:val="center"/>
    </w:pPr>
    <w:rPr>
      <w:b/>
      <w:u w:val="single"/>
    </w:rPr>
  </w:style>
  <w:style w:type="character" w:customStyle="1" w:styleId="TitleChar">
    <w:name w:val="Title Char"/>
    <w:basedOn w:val="DefaultParagraphFont"/>
    <w:link w:val="Title"/>
    <w:uiPriority w:val="10"/>
    <w:rsid w:val="00697192"/>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8613E0"/>
    <w:rPr>
      <w:rFonts w:ascii="Tahoma" w:hAnsi="Tahoma" w:cs="Tahoma"/>
      <w:sz w:val="16"/>
      <w:szCs w:val="16"/>
    </w:rPr>
  </w:style>
  <w:style w:type="character" w:customStyle="1" w:styleId="BalloonTextChar">
    <w:name w:val="Balloon Text Char"/>
    <w:basedOn w:val="DefaultParagraphFont"/>
    <w:link w:val="BalloonText"/>
    <w:uiPriority w:val="99"/>
    <w:semiHidden/>
    <w:rsid w:val="00697192"/>
    <w:rPr>
      <w:sz w:val="0"/>
      <w:szCs w:val="0"/>
      <w:lang w:eastAsia="en-US"/>
    </w:rPr>
  </w:style>
  <w:style w:type="paragraph" w:styleId="ListParagraph">
    <w:name w:val="List Paragraph"/>
    <w:basedOn w:val="Normal"/>
    <w:uiPriority w:val="34"/>
    <w:qFormat/>
    <w:rsid w:val="001A3A88"/>
    <w:pPr>
      <w:ind w:left="720"/>
      <w:contextualSpacing/>
    </w:pPr>
  </w:style>
  <w:style w:type="character" w:styleId="CommentReference">
    <w:name w:val="annotation reference"/>
    <w:basedOn w:val="DefaultParagraphFont"/>
    <w:rsid w:val="00C17AF5"/>
    <w:rPr>
      <w:sz w:val="16"/>
      <w:szCs w:val="16"/>
    </w:rPr>
  </w:style>
  <w:style w:type="paragraph" w:styleId="CommentText">
    <w:name w:val="annotation text"/>
    <w:basedOn w:val="Normal"/>
    <w:link w:val="CommentTextChar"/>
    <w:rsid w:val="00C17AF5"/>
    <w:rPr>
      <w:sz w:val="20"/>
    </w:rPr>
  </w:style>
  <w:style w:type="character" w:customStyle="1" w:styleId="CommentTextChar">
    <w:name w:val="Comment Text Char"/>
    <w:basedOn w:val="DefaultParagraphFont"/>
    <w:link w:val="CommentText"/>
    <w:rsid w:val="00C17AF5"/>
    <w:rPr>
      <w:lang w:eastAsia="en-US"/>
    </w:rPr>
  </w:style>
  <w:style w:type="paragraph" w:styleId="CommentSubject">
    <w:name w:val="annotation subject"/>
    <w:basedOn w:val="CommentText"/>
    <w:next w:val="CommentText"/>
    <w:link w:val="CommentSubjectChar"/>
    <w:rsid w:val="00C17AF5"/>
    <w:rPr>
      <w:b/>
      <w:bCs/>
    </w:rPr>
  </w:style>
  <w:style w:type="character" w:customStyle="1" w:styleId="CommentSubjectChar">
    <w:name w:val="Comment Subject Char"/>
    <w:basedOn w:val="CommentTextChar"/>
    <w:link w:val="CommentSubject"/>
    <w:rsid w:val="00C17AF5"/>
    <w:rPr>
      <w:b/>
      <w:bCs/>
      <w:lang w:eastAsia="en-US"/>
    </w:rPr>
  </w:style>
  <w:style w:type="paragraph" w:styleId="BodyText">
    <w:name w:val="Body Text"/>
    <w:basedOn w:val="Normal"/>
    <w:link w:val="BodyTextChar"/>
    <w:uiPriority w:val="1"/>
    <w:qFormat/>
    <w:rsid w:val="00C43844"/>
    <w:pPr>
      <w:spacing w:after="120"/>
    </w:pPr>
  </w:style>
  <w:style w:type="character" w:customStyle="1" w:styleId="BodyTextChar">
    <w:name w:val="Body Text Char"/>
    <w:basedOn w:val="DefaultParagraphFont"/>
    <w:link w:val="BodyText"/>
    <w:rsid w:val="00C43844"/>
    <w:rPr>
      <w:sz w:val="24"/>
      <w:lang w:eastAsia="en-US"/>
    </w:rPr>
  </w:style>
  <w:style w:type="paragraph" w:customStyle="1" w:styleId="TableParagraph">
    <w:name w:val="Table Paragraph"/>
    <w:basedOn w:val="Normal"/>
    <w:uiPriority w:val="1"/>
    <w:qFormat/>
    <w:rsid w:val="00C43844"/>
    <w:pPr>
      <w:widowControl w:val="0"/>
    </w:pPr>
    <w:rPr>
      <w:rFonts w:asciiTheme="minorHAnsi" w:eastAsiaTheme="minorHAnsi" w:hAnsiTheme="minorHAnsi" w:cstheme="minorBidi"/>
      <w:sz w:val="22"/>
      <w:szCs w:val="22"/>
      <w:lang w:val="en-US"/>
    </w:rPr>
  </w:style>
  <w:style w:type="character" w:styleId="Hyperlink">
    <w:name w:val="Hyperlink"/>
    <w:basedOn w:val="DefaultParagraphFont"/>
    <w:rsid w:val="00C43844"/>
    <w:rPr>
      <w:color w:val="0000FF" w:themeColor="hyperlink"/>
      <w:u w:val="single"/>
    </w:rPr>
  </w:style>
  <w:style w:type="paragraph" w:styleId="NoSpacing">
    <w:name w:val="No Spacing"/>
    <w:uiPriority w:val="1"/>
    <w:qFormat/>
    <w:rsid w:val="004A21C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1"/>
    <w:qFormat/>
    <w:pPr>
      <w:keepNext/>
      <w:jc w:val="right"/>
      <w:outlineLvl w:val="0"/>
    </w:pPr>
    <w:rPr>
      <w:b/>
      <w:u w:val="single"/>
    </w:rPr>
  </w:style>
  <w:style w:type="paragraph" w:styleId="Heading2">
    <w:name w:val="heading 2"/>
    <w:basedOn w:val="Normal"/>
    <w:next w:val="Normal"/>
    <w:link w:val="Heading2Char"/>
    <w:uiPriority w:val="9"/>
    <w:qFormat/>
    <w:pPr>
      <w:keepNext/>
      <w:jc w:val="center"/>
      <w:outlineLvl w:val="1"/>
    </w:pPr>
    <w:rPr>
      <w:rFonts w:ascii="Arial" w:hAnsi="Arial"/>
      <w:b/>
      <w:sz w:val="22"/>
    </w:rPr>
  </w:style>
  <w:style w:type="paragraph" w:styleId="Heading4">
    <w:name w:val="heading 4"/>
    <w:basedOn w:val="Normal"/>
    <w:next w:val="Normal"/>
    <w:link w:val="Heading4Char"/>
    <w:uiPriority w:val="9"/>
    <w:qFormat/>
    <w:rsid w:val="006143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9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97192"/>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697192"/>
    <w:rPr>
      <w:rFonts w:asciiTheme="minorHAnsi" w:eastAsiaTheme="minorEastAsia" w:hAnsiTheme="minorHAnsi" w:cstheme="minorBidi"/>
      <w:b/>
      <w:bCs/>
      <w:sz w:val="28"/>
      <w:szCs w:val="2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semiHidden/>
    <w:rsid w:val="00697192"/>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697192"/>
    <w:rPr>
      <w:sz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567"/>
      </w:tabs>
      <w:ind w:left="540" w:hanging="540"/>
      <w:jc w:val="both"/>
    </w:pPr>
  </w:style>
  <w:style w:type="character" w:customStyle="1" w:styleId="BodyTextIndentChar">
    <w:name w:val="Body Text Indent Char"/>
    <w:basedOn w:val="DefaultParagraphFont"/>
    <w:link w:val="BodyTextIndent"/>
    <w:uiPriority w:val="99"/>
    <w:semiHidden/>
    <w:rsid w:val="00697192"/>
    <w:rPr>
      <w:sz w:val="24"/>
      <w:lang w:eastAsia="en-US"/>
    </w:rPr>
  </w:style>
  <w:style w:type="paragraph" w:styleId="BodyTextIndent2">
    <w:name w:val="Body Text Indent 2"/>
    <w:basedOn w:val="Normal"/>
    <w:link w:val="BodyTextIndent2Char"/>
    <w:uiPriority w:val="99"/>
    <w:pPr>
      <w:ind w:left="567" w:hanging="567"/>
      <w:jc w:val="both"/>
    </w:pPr>
  </w:style>
  <w:style w:type="character" w:customStyle="1" w:styleId="BodyTextIndent2Char">
    <w:name w:val="Body Text Indent 2 Char"/>
    <w:basedOn w:val="DefaultParagraphFont"/>
    <w:link w:val="BodyTextIndent2"/>
    <w:uiPriority w:val="99"/>
    <w:semiHidden/>
    <w:rsid w:val="00697192"/>
    <w:rPr>
      <w:sz w:val="24"/>
      <w:lang w:eastAsia="en-US"/>
    </w:rPr>
  </w:style>
  <w:style w:type="paragraph" w:styleId="BodyTextIndent3">
    <w:name w:val="Body Text Indent 3"/>
    <w:basedOn w:val="Normal"/>
    <w:link w:val="BodyTextIndent3Char"/>
    <w:uiPriority w:val="99"/>
    <w:pPr>
      <w:tabs>
        <w:tab w:val="left" w:pos="567"/>
      </w:tabs>
      <w:ind w:left="1134" w:hanging="1134"/>
      <w:jc w:val="both"/>
    </w:pPr>
  </w:style>
  <w:style w:type="character" w:customStyle="1" w:styleId="BodyTextIndent3Char">
    <w:name w:val="Body Text Indent 3 Char"/>
    <w:basedOn w:val="DefaultParagraphFont"/>
    <w:link w:val="BodyTextIndent3"/>
    <w:uiPriority w:val="99"/>
    <w:semiHidden/>
    <w:rsid w:val="00697192"/>
    <w:rPr>
      <w:sz w:val="16"/>
      <w:szCs w:val="16"/>
      <w:lang w:eastAsia="en-US"/>
    </w:rPr>
  </w:style>
  <w:style w:type="table" w:styleId="TableGrid">
    <w:name w:val="Table Grid"/>
    <w:basedOn w:val="TableNormal"/>
    <w:uiPriority w:val="59"/>
    <w:rsid w:val="00E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4352"/>
    <w:pPr>
      <w:jc w:val="center"/>
    </w:pPr>
    <w:rPr>
      <w:b/>
      <w:u w:val="single"/>
    </w:rPr>
  </w:style>
  <w:style w:type="character" w:customStyle="1" w:styleId="TitleChar">
    <w:name w:val="Title Char"/>
    <w:basedOn w:val="DefaultParagraphFont"/>
    <w:link w:val="Title"/>
    <w:uiPriority w:val="10"/>
    <w:rsid w:val="00697192"/>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8613E0"/>
    <w:rPr>
      <w:rFonts w:ascii="Tahoma" w:hAnsi="Tahoma" w:cs="Tahoma"/>
      <w:sz w:val="16"/>
      <w:szCs w:val="16"/>
    </w:rPr>
  </w:style>
  <w:style w:type="character" w:customStyle="1" w:styleId="BalloonTextChar">
    <w:name w:val="Balloon Text Char"/>
    <w:basedOn w:val="DefaultParagraphFont"/>
    <w:link w:val="BalloonText"/>
    <w:uiPriority w:val="99"/>
    <w:semiHidden/>
    <w:rsid w:val="00697192"/>
    <w:rPr>
      <w:sz w:val="0"/>
      <w:szCs w:val="0"/>
      <w:lang w:eastAsia="en-US"/>
    </w:rPr>
  </w:style>
  <w:style w:type="paragraph" w:styleId="ListParagraph">
    <w:name w:val="List Paragraph"/>
    <w:basedOn w:val="Normal"/>
    <w:uiPriority w:val="34"/>
    <w:qFormat/>
    <w:rsid w:val="001A3A88"/>
    <w:pPr>
      <w:ind w:left="720"/>
      <w:contextualSpacing/>
    </w:pPr>
  </w:style>
  <w:style w:type="character" w:styleId="CommentReference">
    <w:name w:val="annotation reference"/>
    <w:basedOn w:val="DefaultParagraphFont"/>
    <w:rsid w:val="00C17AF5"/>
    <w:rPr>
      <w:sz w:val="16"/>
      <w:szCs w:val="16"/>
    </w:rPr>
  </w:style>
  <w:style w:type="paragraph" w:styleId="CommentText">
    <w:name w:val="annotation text"/>
    <w:basedOn w:val="Normal"/>
    <w:link w:val="CommentTextChar"/>
    <w:rsid w:val="00C17AF5"/>
    <w:rPr>
      <w:sz w:val="20"/>
    </w:rPr>
  </w:style>
  <w:style w:type="character" w:customStyle="1" w:styleId="CommentTextChar">
    <w:name w:val="Comment Text Char"/>
    <w:basedOn w:val="DefaultParagraphFont"/>
    <w:link w:val="CommentText"/>
    <w:rsid w:val="00C17AF5"/>
    <w:rPr>
      <w:lang w:eastAsia="en-US"/>
    </w:rPr>
  </w:style>
  <w:style w:type="paragraph" w:styleId="CommentSubject">
    <w:name w:val="annotation subject"/>
    <w:basedOn w:val="CommentText"/>
    <w:next w:val="CommentText"/>
    <w:link w:val="CommentSubjectChar"/>
    <w:rsid w:val="00C17AF5"/>
    <w:rPr>
      <w:b/>
      <w:bCs/>
    </w:rPr>
  </w:style>
  <w:style w:type="character" w:customStyle="1" w:styleId="CommentSubjectChar">
    <w:name w:val="Comment Subject Char"/>
    <w:basedOn w:val="CommentTextChar"/>
    <w:link w:val="CommentSubject"/>
    <w:rsid w:val="00C17AF5"/>
    <w:rPr>
      <w:b/>
      <w:bCs/>
      <w:lang w:eastAsia="en-US"/>
    </w:rPr>
  </w:style>
  <w:style w:type="paragraph" w:styleId="BodyText">
    <w:name w:val="Body Text"/>
    <w:basedOn w:val="Normal"/>
    <w:link w:val="BodyTextChar"/>
    <w:uiPriority w:val="1"/>
    <w:qFormat/>
    <w:rsid w:val="00C43844"/>
    <w:pPr>
      <w:spacing w:after="120"/>
    </w:pPr>
  </w:style>
  <w:style w:type="character" w:customStyle="1" w:styleId="BodyTextChar">
    <w:name w:val="Body Text Char"/>
    <w:basedOn w:val="DefaultParagraphFont"/>
    <w:link w:val="BodyText"/>
    <w:rsid w:val="00C43844"/>
    <w:rPr>
      <w:sz w:val="24"/>
      <w:lang w:eastAsia="en-US"/>
    </w:rPr>
  </w:style>
  <w:style w:type="paragraph" w:customStyle="1" w:styleId="TableParagraph">
    <w:name w:val="Table Paragraph"/>
    <w:basedOn w:val="Normal"/>
    <w:uiPriority w:val="1"/>
    <w:qFormat/>
    <w:rsid w:val="00C43844"/>
    <w:pPr>
      <w:widowControl w:val="0"/>
    </w:pPr>
    <w:rPr>
      <w:rFonts w:asciiTheme="minorHAnsi" w:eastAsiaTheme="minorHAnsi" w:hAnsiTheme="minorHAnsi" w:cstheme="minorBidi"/>
      <w:sz w:val="22"/>
      <w:szCs w:val="22"/>
      <w:lang w:val="en-US"/>
    </w:rPr>
  </w:style>
  <w:style w:type="character" w:styleId="Hyperlink">
    <w:name w:val="Hyperlink"/>
    <w:basedOn w:val="DefaultParagraphFont"/>
    <w:rsid w:val="00C43844"/>
    <w:rPr>
      <w:color w:val="0000FF" w:themeColor="hyperlink"/>
      <w:u w:val="single"/>
    </w:rPr>
  </w:style>
  <w:style w:type="paragraph" w:styleId="NoSpacing">
    <w:name w:val="No Spacing"/>
    <w:uiPriority w:val="1"/>
    <w:qFormat/>
    <w:rsid w:val="004A21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63">
      <w:bodyDiv w:val="1"/>
      <w:marLeft w:val="0"/>
      <w:marRight w:val="0"/>
      <w:marTop w:val="0"/>
      <w:marBottom w:val="0"/>
      <w:divBdr>
        <w:top w:val="none" w:sz="0" w:space="0" w:color="auto"/>
        <w:left w:val="none" w:sz="0" w:space="0" w:color="auto"/>
        <w:bottom w:val="none" w:sz="0" w:space="0" w:color="auto"/>
        <w:right w:val="none" w:sz="0" w:space="0" w:color="auto"/>
      </w:divBdr>
    </w:div>
    <w:div w:id="389693517">
      <w:bodyDiv w:val="1"/>
      <w:marLeft w:val="0"/>
      <w:marRight w:val="0"/>
      <w:marTop w:val="0"/>
      <w:marBottom w:val="0"/>
      <w:divBdr>
        <w:top w:val="none" w:sz="0" w:space="0" w:color="auto"/>
        <w:left w:val="none" w:sz="0" w:space="0" w:color="auto"/>
        <w:bottom w:val="none" w:sz="0" w:space="0" w:color="auto"/>
        <w:right w:val="none" w:sz="0" w:space="0" w:color="auto"/>
      </w:divBdr>
    </w:div>
    <w:div w:id="785153719">
      <w:bodyDiv w:val="1"/>
      <w:marLeft w:val="0"/>
      <w:marRight w:val="0"/>
      <w:marTop w:val="0"/>
      <w:marBottom w:val="0"/>
      <w:divBdr>
        <w:top w:val="none" w:sz="0" w:space="0" w:color="auto"/>
        <w:left w:val="none" w:sz="0" w:space="0" w:color="auto"/>
        <w:bottom w:val="none" w:sz="0" w:space="0" w:color="auto"/>
        <w:right w:val="none" w:sz="0" w:space="0" w:color="auto"/>
      </w:divBdr>
    </w:div>
    <w:div w:id="1036781181">
      <w:bodyDiv w:val="1"/>
      <w:marLeft w:val="0"/>
      <w:marRight w:val="0"/>
      <w:marTop w:val="0"/>
      <w:marBottom w:val="0"/>
      <w:divBdr>
        <w:top w:val="none" w:sz="0" w:space="0" w:color="auto"/>
        <w:left w:val="none" w:sz="0" w:space="0" w:color="auto"/>
        <w:bottom w:val="none" w:sz="0" w:space="0" w:color="auto"/>
        <w:right w:val="none" w:sz="0" w:space="0" w:color="auto"/>
      </w:divBdr>
    </w:div>
    <w:div w:id="1418550952">
      <w:bodyDiv w:val="1"/>
      <w:marLeft w:val="0"/>
      <w:marRight w:val="0"/>
      <w:marTop w:val="0"/>
      <w:marBottom w:val="0"/>
      <w:divBdr>
        <w:top w:val="none" w:sz="0" w:space="0" w:color="auto"/>
        <w:left w:val="none" w:sz="0" w:space="0" w:color="auto"/>
        <w:bottom w:val="none" w:sz="0" w:space="0" w:color="auto"/>
        <w:right w:val="none" w:sz="0" w:space="0" w:color="auto"/>
      </w:divBdr>
      <w:divsChild>
        <w:div w:id="1223441664">
          <w:marLeft w:val="619"/>
          <w:marRight w:val="0"/>
          <w:marTop w:val="134"/>
          <w:marBottom w:val="0"/>
          <w:divBdr>
            <w:top w:val="none" w:sz="0" w:space="0" w:color="auto"/>
            <w:left w:val="none" w:sz="0" w:space="0" w:color="auto"/>
            <w:bottom w:val="none" w:sz="0" w:space="0" w:color="auto"/>
            <w:right w:val="none" w:sz="0" w:space="0" w:color="auto"/>
          </w:divBdr>
        </w:div>
        <w:div w:id="1386442093">
          <w:marLeft w:val="619"/>
          <w:marRight w:val="0"/>
          <w:marTop w:val="134"/>
          <w:marBottom w:val="0"/>
          <w:divBdr>
            <w:top w:val="none" w:sz="0" w:space="0" w:color="auto"/>
            <w:left w:val="none" w:sz="0" w:space="0" w:color="auto"/>
            <w:bottom w:val="none" w:sz="0" w:space="0" w:color="auto"/>
            <w:right w:val="none" w:sz="0" w:space="0" w:color="auto"/>
          </w:divBdr>
        </w:div>
        <w:div w:id="145316322">
          <w:marLeft w:val="619"/>
          <w:marRight w:val="0"/>
          <w:marTop w:val="134"/>
          <w:marBottom w:val="0"/>
          <w:divBdr>
            <w:top w:val="none" w:sz="0" w:space="0" w:color="auto"/>
            <w:left w:val="none" w:sz="0" w:space="0" w:color="auto"/>
            <w:bottom w:val="none" w:sz="0" w:space="0" w:color="auto"/>
            <w:right w:val="none" w:sz="0" w:space="0" w:color="auto"/>
          </w:divBdr>
        </w:div>
        <w:div w:id="485098588">
          <w:marLeft w:val="619"/>
          <w:marRight w:val="0"/>
          <w:marTop w:val="134"/>
          <w:marBottom w:val="0"/>
          <w:divBdr>
            <w:top w:val="none" w:sz="0" w:space="0" w:color="auto"/>
            <w:left w:val="none" w:sz="0" w:space="0" w:color="auto"/>
            <w:bottom w:val="none" w:sz="0" w:space="0" w:color="auto"/>
            <w:right w:val="none" w:sz="0" w:space="0" w:color="auto"/>
          </w:divBdr>
        </w:div>
      </w:divsChild>
    </w:div>
    <w:div w:id="1549075040">
      <w:bodyDiv w:val="1"/>
      <w:marLeft w:val="0"/>
      <w:marRight w:val="0"/>
      <w:marTop w:val="0"/>
      <w:marBottom w:val="0"/>
      <w:divBdr>
        <w:top w:val="none" w:sz="0" w:space="0" w:color="auto"/>
        <w:left w:val="none" w:sz="0" w:space="0" w:color="auto"/>
        <w:bottom w:val="none" w:sz="0" w:space="0" w:color="auto"/>
        <w:right w:val="none" w:sz="0" w:space="0" w:color="auto"/>
      </w:divBdr>
    </w:div>
    <w:div w:id="15704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C7A6-07BE-406A-B528-709A4046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4167</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BARNSLEY COMMUNITY AND PRIORITY SERVICES NHS TRUST</vt:lpstr>
    </vt:vector>
  </TitlesOfParts>
  <Company>Barnsley CPS NHS Trust</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COMMUNITY AND PRIORITY SERVICES NHS TRUST</dc:title>
  <dc:creator>The User</dc:creator>
  <cp:lastModifiedBy>Paige Dawson</cp:lastModifiedBy>
  <cp:revision>6</cp:revision>
  <cp:lastPrinted>2017-05-26T13:04:00Z</cp:lastPrinted>
  <dcterms:created xsi:type="dcterms:W3CDTF">2020-09-29T14:01:00Z</dcterms:created>
  <dcterms:modified xsi:type="dcterms:W3CDTF">2020-11-11T15:07:00Z</dcterms:modified>
</cp:coreProperties>
</file>